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Times New Roman"/>
          <w:color w:val="000000"/>
          <w:sz w:val="24"/>
          <w:szCs w:val="24"/>
          <w:shd w:val="clear" w:color="auto" w:fill="FFFFFF"/>
        </w:rPr>
      </w:pPr>
      <w:r>
        <w:rPr>
          <w:rFonts w:hint="eastAsia" w:ascii="仿宋" w:hAnsi="仿宋" w:eastAsia="仿宋" w:cs="仿宋"/>
          <w:color w:val="000000"/>
          <w:sz w:val="24"/>
          <w:szCs w:val="24"/>
          <w:shd w:val="clear" w:color="auto" w:fill="FFFFFF"/>
        </w:rPr>
        <w:t>附件</w:t>
      </w:r>
      <w:r>
        <w:rPr>
          <w:rFonts w:ascii="仿宋" w:hAnsi="仿宋" w:eastAsia="仿宋" w:cs="仿宋"/>
          <w:color w:val="000000"/>
          <w:sz w:val="24"/>
          <w:szCs w:val="24"/>
          <w:shd w:val="clear" w:color="auto" w:fill="FFFFFF"/>
        </w:rPr>
        <w:t>1</w:t>
      </w:r>
      <w:r>
        <w:rPr>
          <w:rFonts w:hint="eastAsia" w:ascii="仿宋" w:hAnsi="仿宋" w:eastAsia="仿宋" w:cs="仿宋"/>
          <w:color w:val="000000"/>
          <w:sz w:val="24"/>
          <w:szCs w:val="24"/>
          <w:shd w:val="clear" w:color="auto" w:fill="FFFFFF"/>
        </w:rPr>
        <w:t>：</w:t>
      </w:r>
    </w:p>
    <w:p>
      <w:pPr>
        <w:spacing w:line="360" w:lineRule="auto"/>
        <w:jc w:val="center"/>
        <w:rPr>
          <w:rFonts w:ascii="黑体" w:hAnsi="黑体" w:eastAsia="黑体" w:cs="Times New Roman"/>
          <w:b/>
          <w:bCs/>
          <w:color w:val="000000"/>
          <w:sz w:val="32"/>
          <w:szCs w:val="32"/>
        </w:rPr>
      </w:pPr>
      <w:r>
        <w:rPr>
          <w:rFonts w:hint="eastAsia" w:ascii="黑体" w:hAnsi="黑体" w:eastAsia="黑体" w:cs="黑体"/>
          <w:b/>
          <w:bCs/>
          <w:color w:val="000000"/>
          <w:sz w:val="32"/>
          <w:szCs w:val="32"/>
        </w:rPr>
        <w:t>用户需求书</w:t>
      </w:r>
    </w:p>
    <w:p>
      <w:pPr>
        <w:tabs>
          <w:tab w:val="left" w:pos="426"/>
        </w:tabs>
        <w:adjustRightInd w:val="0"/>
        <w:snapToGrid w:val="0"/>
        <w:spacing w:line="360" w:lineRule="auto"/>
        <w:ind w:firstLine="560" w:firstLineChars="200"/>
        <w:rPr>
          <w:rFonts w:ascii="仿宋" w:hAnsi="仿宋" w:eastAsia="仿宋" w:cs="Times New Roman"/>
          <w:color w:val="000000"/>
          <w:sz w:val="24"/>
          <w:szCs w:val="24"/>
        </w:rPr>
      </w:pPr>
      <w:r>
        <w:rPr>
          <w:rFonts w:hint="eastAsia" w:ascii="黑体" w:hAnsi="黑体" w:eastAsia="黑体" w:cs="黑体"/>
          <w:color w:val="000000"/>
          <w:sz w:val="28"/>
          <w:szCs w:val="28"/>
        </w:rPr>
        <w:t>一、项目名称：</w:t>
      </w:r>
      <w:r>
        <w:rPr>
          <w:rFonts w:hint="eastAsia" w:ascii="宋体" w:hAnsi="宋体" w:cs="宋体"/>
          <w:sz w:val="24"/>
          <w:szCs w:val="24"/>
        </w:rPr>
        <w:t>广东金融学院校本部图书信息中心中央空调维保</w:t>
      </w:r>
      <w:r>
        <w:rPr>
          <w:rFonts w:hint="eastAsia" w:ascii="仿宋" w:hAnsi="仿宋" w:eastAsia="仿宋" w:cs="仿宋"/>
          <w:color w:val="000000"/>
          <w:sz w:val="24"/>
          <w:szCs w:val="24"/>
        </w:rPr>
        <w:t>。</w:t>
      </w:r>
    </w:p>
    <w:p>
      <w:pPr>
        <w:tabs>
          <w:tab w:val="left" w:pos="426"/>
        </w:tabs>
        <w:adjustRightInd w:val="0"/>
        <w:snapToGrid w:val="0"/>
        <w:spacing w:line="360" w:lineRule="auto"/>
        <w:ind w:firstLine="560" w:firstLineChars="200"/>
        <w:rPr>
          <w:rFonts w:ascii="黑体" w:hAnsi="黑体" w:eastAsia="黑体" w:cs="Times New Roman"/>
          <w:color w:val="000000"/>
          <w:sz w:val="28"/>
          <w:szCs w:val="28"/>
        </w:rPr>
      </w:pPr>
      <w:r>
        <w:rPr>
          <w:rFonts w:hint="eastAsia" w:ascii="黑体" w:hAnsi="黑体" w:eastAsia="黑体" w:cs="黑体"/>
          <w:color w:val="000000"/>
          <w:sz w:val="28"/>
          <w:szCs w:val="28"/>
        </w:rPr>
        <w:t>二、项目预算：</w:t>
      </w:r>
      <w:r>
        <w:rPr>
          <w:rFonts w:ascii="宋体" w:hAnsi="宋体" w:cs="仿宋"/>
          <w:color w:val="000000"/>
          <w:sz w:val="24"/>
          <w:szCs w:val="24"/>
        </w:rPr>
        <w:t>43000</w:t>
      </w:r>
      <w:r>
        <w:rPr>
          <w:rFonts w:hint="eastAsia" w:ascii="宋体" w:hAnsi="宋体" w:cs="仿宋"/>
          <w:color w:val="000000"/>
          <w:sz w:val="24"/>
          <w:szCs w:val="24"/>
        </w:rPr>
        <w:t>元。</w:t>
      </w:r>
    </w:p>
    <w:p>
      <w:pPr>
        <w:spacing w:line="360" w:lineRule="auto"/>
        <w:ind w:firstLine="560" w:firstLineChars="200"/>
        <w:rPr>
          <w:rFonts w:ascii="宋体" w:cs="宋体"/>
          <w:sz w:val="24"/>
          <w:szCs w:val="24"/>
        </w:rPr>
      </w:pPr>
      <w:r>
        <w:rPr>
          <w:rFonts w:hint="eastAsia" w:ascii="黑体" w:hAnsi="黑体" w:eastAsia="黑体" w:cs="宋体"/>
          <w:sz w:val="28"/>
          <w:szCs w:val="28"/>
        </w:rPr>
        <w:t>三、服务地点</w:t>
      </w:r>
      <w:r>
        <w:rPr>
          <w:rFonts w:hint="eastAsia" w:ascii="黑体" w:hAnsi="黑体" w:eastAsia="黑体" w:cs="宋体"/>
          <w:sz w:val="24"/>
          <w:szCs w:val="24"/>
        </w:rPr>
        <w:t>：</w:t>
      </w:r>
      <w:r>
        <w:rPr>
          <w:rFonts w:hint="eastAsia" w:ascii="宋体" w:hAnsi="宋体" w:cs="宋体"/>
          <w:sz w:val="24"/>
          <w:szCs w:val="24"/>
        </w:rPr>
        <w:t>广东金融学院图书信息中心。</w:t>
      </w:r>
    </w:p>
    <w:p>
      <w:pPr>
        <w:snapToGrid w:val="0"/>
        <w:spacing w:line="360" w:lineRule="auto"/>
        <w:ind w:firstLine="560" w:firstLineChars="200"/>
        <w:rPr>
          <w:rFonts w:ascii="黑体" w:hAnsi="黑体" w:eastAsia="黑体" w:cs="宋体"/>
          <w:bCs/>
          <w:sz w:val="28"/>
          <w:szCs w:val="28"/>
        </w:rPr>
      </w:pPr>
      <w:r>
        <w:rPr>
          <w:rFonts w:hint="eastAsia" w:ascii="黑体" w:hAnsi="黑体" w:eastAsia="黑体" w:cs="宋体"/>
          <w:bCs/>
          <w:sz w:val="28"/>
          <w:szCs w:val="28"/>
        </w:rPr>
        <w:t>四、商务要求</w:t>
      </w:r>
    </w:p>
    <w:p>
      <w:pPr>
        <w:spacing w:line="360" w:lineRule="auto"/>
        <w:ind w:firstLine="420"/>
        <w:rPr>
          <w:rFonts w:ascii="宋体" w:cs="宋体"/>
          <w:sz w:val="24"/>
          <w:szCs w:val="24"/>
        </w:rPr>
      </w:pPr>
      <w:r>
        <w:rPr>
          <w:rFonts w:hint="eastAsia" w:ascii="宋体" w:hAnsi="宋体" w:cs="宋体"/>
          <w:sz w:val="24"/>
          <w:szCs w:val="24"/>
        </w:rPr>
        <w:t>（一）维保服务时间要求：空调出现故障，成交供应商在接到采购人通知后</w:t>
      </w:r>
      <w:r>
        <w:rPr>
          <w:rFonts w:ascii="宋体" w:hAnsi="宋体" w:cs="宋体"/>
          <w:sz w:val="24"/>
          <w:szCs w:val="24"/>
        </w:rPr>
        <w:t>2</w:t>
      </w:r>
      <w:r>
        <w:rPr>
          <w:rFonts w:hint="eastAsia" w:ascii="宋体" w:hAnsi="宋体" w:cs="宋体"/>
          <w:sz w:val="24"/>
          <w:szCs w:val="24"/>
        </w:rPr>
        <w:t>小时内赶到现场，到达现场后</w:t>
      </w:r>
      <w:r>
        <w:rPr>
          <w:rFonts w:ascii="宋体" w:hAnsi="宋体" w:cs="宋体"/>
          <w:sz w:val="24"/>
          <w:szCs w:val="24"/>
        </w:rPr>
        <w:t>1</w:t>
      </w:r>
      <w:r>
        <w:rPr>
          <w:rFonts w:hint="eastAsia" w:ascii="宋体" w:hAnsi="宋体" w:cs="宋体"/>
          <w:sz w:val="24"/>
          <w:szCs w:val="24"/>
        </w:rPr>
        <w:t>小时内解决问题（成交供应商至少委派</w:t>
      </w:r>
      <w:r>
        <w:rPr>
          <w:rFonts w:ascii="宋体" w:hAnsi="宋体" w:cs="宋体"/>
          <w:sz w:val="24"/>
          <w:szCs w:val="24"/>
        </w:rPr>
        <w:t>1</w:t>
      </w:r>
      <w:r>
        <w:rPr>
          <w:rFonts w:hint="eastAsia" w:ascii="宋体" w:hAnsi="宋体" w:cs="宋体"/>
          <w:sz w:val="24"/>
          <w:szCs w:val="24"/>
        </w:rPr>
        <w:t>名维修人员跟进此项目）；</w:t>
      </w:r>
      <w:r>
        <w:rPr>
          <w:rFonts w:ascii="宋体" w:hAnsi="宋体" w:cs="宋体"/>
          <w:sz w:val="24"/>
          <w:szCs w:val="24"/>
        </w:rPr>
        <w:t xml:space="preserve"> </w:t>
      </w:r>
    </w:p>
    <w:p>
      <w:pPr>
        <w:spacing w:line="360" w:lineRule="auto"/>
        <w:ind w:firstLine="420"/>
        <w:rPr>
          <w:rFonts w:ascii="宋体" w:cs="宋体"/>
          <w:sz w:val="24"/>
          <w:szCs w:val="24"/>
        </w:rPr>
      </w:pPr>
      <w:r>
        <w:rPr>
          <w:rFonts w:hint="eastAsia" w:ascii="宋体" w:hAnsi="宋体" w:cs="宋体"/>
          <w:sz w:val="24"/>
          <w:szCs w:val="24"/>
        </w:rPr>
        <w:t>（二）保修时间要求：零配件更换后保修时间为一年，压缩机保修时间为六年。（此项目为全新的设备，在保修期内，更换配件以承建方为主）</w:t>
      </w:r>
    </w:p>
    <w:p>
      <w:pPr>
        <w:spacing w:line="360" w:lineRule="auto"/>
        <w:ind w:firstLine="420"/>
        <w:rPr>
          <w:rFonts w:ascii="宋体" w:cs="宋体"/>
          <w:sz w:val="24"/>
          <w:szCs w:val="24"/>
        </w:rPr>
      </w:pPr>
      <w:r>
        <w:rPr>
          <w:rFonts w:hint="eastAsia" w:ascii="宋体" w:hAnsi="宋体" w:cs="宋体"/>
          <w:sz w:val="24"/>
          <w:szCs w:val="24"/>
        </w:rPr>
        <w:t>（三）报价要求：</w:t>
      </w:r>
    </w:p>
    <w:p>
      <w:pPr>
        <w:spacing w:line="360" w:lineRule="auto"/>
        <w:ind w:firstLine="420"/>
        <w:rPr>
          <w:rFonts w:ascii="宋体" w:cs="宋体"/>
          <w:sz w:val="24"/>
          <w:szCs w:val="24"/>
        </w:rPr>
      </w:pPr>
      <w:r>
        <w:rPr>
          <w:rFonts w:ascii="宋体" w:hAnsi="宋体" w:cs="宋体"/>
          <w:sz w:val="24"/>
          <w:szCs w:val="24"/>
        </w:rPr>
        <w:t>1.</w:t>
      </w:r>
      <w:r>
        <w:rPr>
          <w:rFonts w:hint="eastAsia" w:ascii="宋体" w:hAnsi="宋体" w:cs="宋体"/>
          <w:sz w:val="24"/>
          <w:szCs w:val="24"/>
        </w:rPr>
        <w:t>报价不得超出最高限价且唯一固定，须按要求报出维保及清洗的明细报价；</w:t>
      </w:r>
    </w:p>
    <w:p>
      <w:pPr>
        <w:spacing w:line="360" w:lineRule="auto"/>
        <w:ind w:firstLine="420"/>
        <w:rPr>
          <w:rFonts w:ascii="宋体" w:cs="宋体"/>
          <w:sz w:val="24"/>
          <w:szCs w:val="24"/>
        </w:rPr>
      </w:pPr>
      <w:r>
        <w:rPr>
          <w:rFonts w:ascii="宋体" w:hAnsi="宋体" w:cs="宋体"/>
          <w:sz w:val="24"/>
          <w:szCs w:val="24"/>
        </w:rPr>
        <w:t>2.</w:t>
      </w:r>
      <w:r>
        <w:rPr>
          <w:rFonts w:hint="eastAsia" w:ascii="宋体" w:hAnsi="宋体" w:cs="宋体"/>
          <w:sz w:val="24"/>
          <w:szCs w:val="24"/>
        </w:rPr>
        <w:t>本次采购为广东金融学院校本部图书信息中心中央空调维保项目，拟定一家成交供应商承担中央空调维修保养服务工作。</w:t>
      </w:r>
    </w:p>
    <w:p>
      <w:pPr>
        <w:spacing w:line="360" w:lineRule="auto"/>
        <w:ind w:firstLine="420"/>
        <w:rPr>
          <w:rFonts w:ascii="宋体" w:cs="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付款方式：</w:t>
      </w:r>
    </w:p>
    <w:p>
      <w:pPr>
        <w:pStyle w:val="12"/>
        <w:ind w:left="399" w:leftChars="190" w:firstLine="0" w:firstLineChars="0"/>
        <w:rPr>
          <w:rFonts w:ascii="宋体" w:hAnsi="宋体" w:eastAsia="宋体" w:cs="宋体"/>
          <w:color w:val="000000"/>
        </w:rPr>
      </w:pPr>
      <w:r>
        <w:rPr>
          <w:rFonts w:hint="eastAsia" w:ascii="宋体" w:hAnsi="宋体" w:eastAsia="宋体" w:cs="宋体"/>
          <w:color w:val="000000"/>
        </w:rPr>
        <w:t>维保费用支付：每月</w:t>
      </w:r>
      <w:r>
        <w:rPr>
          <w:rFonts w:ascii="宋体" w:hAnsi="宋体" w:eastAsia="宋体" w:cs="宋体"/>
          <w:color w:val="000000"/>
        </w:rPr>
        <w:t>10</w:t>
      </w:r>
      <w:r>
        <w:rPr>
          <w:rFonts w:hint="eastAsia" w:ascii="宋体" w:hAnsi="宋体" w:eastAsia="宋体" w:cs="宋体"/>
          <w:color w:val="000000"/>
        </w:rPr>
        <w:t>日前双方确认上月维保工作的完成情况，如成交供</w:t>
      </w:r>
    </w:p>
    <w:p>
      <w:pPr>
        <w:pStyle w:val="12"/>
        <w:ind w:left="0" w:leftChars="0" w:firstLine="0" w:firstLineChars="0"/>
        <w:rPr>
          <w:rFonts w:ascii="宋体" w:hAnsi="宋体" w:eastAsia="宋体" w:cs="宋体"/>
          <w:color w:val="000000"/>
        </w:rPr>
      </w:pPr>
      <w:r>
        <w:rPr>
          <w:rFonts w:hint="eastAsia" w:ascii="宋体" w:hAnsi="宋体" w:eastAsia="宋体" w:cs="宋体"/>
          <w:color w:val="000000"/>
        </w:rPr>
        <w:t>应商按时按质完成维保项目，采购方按照成交价三个月支付一次维保费，成交供应商需提供支付款项的各种材料（包括但不仅限于报价单、合法合规的普通发票、请款函、双方确认的验收表）</w:t>
      </w:r>
    </w:p>
    <w:p>
      <w:pPr>
        <w:spacing w:line="360" w:lineRule="auto"/>
        <w:ind w:firstLine="420"/>
        <w:rPr>
          <w:rFonts w:ascii="宋体" w:cs="宋体"/>
          <w:sz w:val="24"/>
          <w:szCs w:val="24"/>
        </w:rPr>
      </w:pPr>
      <w:r>
        <w:rPr>
          <w:rFonts w:ascii="宋体" w:hAnsi="宋体" w:cs="宋体"/>
          <w:sz w:val="24"/>
          <w:szCs w:val="24"/>
        </w:rPr>
        <w:t>a.</w:t>
      </w:r>
      <w:r>
        <w:rPr>
          <w:rFonts w:hint="eastAsia" w:ascii="宋体" w:hAnsi="宋体" w:cs="宋体"/>
          <w:sz w:val="24"/>
          <w:szCs w:val="24"/>
        </w:rPr>
        <w:t>以上付款采用银行转账方式；</w:t>
      </w:r>
    </w:p>
    <w:p>
      <w:pPr>
        <w:spacing w:line="360" w:lineRule="auto"/>
        <w:ind w:firstLine="420"/>
        <w:rPr>
          <w:rFonts w:ascii="宋体" w:cs="宋体"/>
          <w:sz w:val="24"/>
          <w:szCs w:val="24"/>
        </w:rPr>
      </w:pPr>
      <w:r>
        <w:rPr>
          <w:rFonts w:ascii="宋体" w:hAnsi="宋体" w:cs="宋体"/>
          <w:sz w:val="24"/>
          <w:szCs w:val="24"/>
        </w:rPr>
        <w:t>b.</w:t>
      </w:r>
      <w:r>
        <w:rPr>
          <w:rFonts w:hint="eastAsia" w:ascii="宋体" w:hAnsi="宋体" w:cs="宋体"/>
          <w:sz w:val="24"/>
          <w:szCs w:val="24"/>
        </w:rPr>
        <w:t>每次办理付款手续时，成交供应商向采购人开具合法有效的正式等额普通发票原件，并提供发票复印件</w:t>
      </w:r>
      <w:r>
        <w:rPr>
          <w:rFonts w:ascii="宋体" w:hAnsi="宋体" w:cs="宋体"/>
          <w:sz w:val="24"/>
          <w:szCs w:val="24"/>
        </w:rPr>
        <w:t>2</w:t>
      </w:r>
      <w:r>
        <w:rPr>
          <w:rFonts w:hint="eastAsia" w:ascii="宋体" w:hAnsi="宋体" w:cs="宋体"/>
          <w:sz w:val="24"/>
          <w:szCs w:val="24"/>
        </w:rPr>
        <w:t>份（加盖成交供应商公章），方可办理相关申报支付手续。</w:t>
      </w:r>
    </w:p>
    <w:p>
      <w:pPr>
        <w:spacing w:line="360" w:lineRule="auto"/>
        <w:rPr>
          <w:rFonts w:ascii="黑体" w:hAnsi="黑体" w:eastAsia="黑体" w:cs="宋体"/>
          <w:bCs/>
          <w:sz w:val="28"/>
          <w:szCs w:val="28"/>
        </w:rPr>
      </w:pPr>
      <w:r>
        <w:rPr>
          <w:rFonts w:hint="eastAsia" w:ascii="黑体" w:hAnsi="黑体" w:eastAsia="黑体" w:cs="宋体"/>
          <w:bCs/>
          <w:sz w:val="28"/>
          <w:szCs w:val="28"/>
        </w:rPr>
        <w:t>五、服务内容及要求</w:t>
      </w:r>
    </w:p>
    <w:p>
      <w:pPr>
        <w:pStyle w:val="12"/>
        <w:ind w:left="0" w:leftChars="0" w:firstLine="241"/>
      </w:pPr>
      <w:r>
        <w:rPr>
          <w:rFonts w:hint="eastAsia" w:ascii="宋体" w:hAnsi="宋体" w:eastAsia="宋体" w:cs="宋体"/>
          <w:b/>
          <w:bCs/>
        </w:rPr>
        <w:t>（一）维保服务内容：</w:t>
      </w:r>
    </w:p>
    <w:p>
      <w:pPr>
        <w:spacing w:line="360" w:lineRule="auto"/>
        <w:ind w:firstLine="420"/>
        <w:rPr>
          <w:rFonts w:ascii="宋体" w:cs="宋体"/>
          <w:sz w:val="24"/>
          <w:szCs w:val="24"/>
        </w:rPr>
      </w:pPr>
      <w:r>
        <w:rPr>
          <w:rFonts w:ascii="宋体" w:hAnsi="宋体" w:cs="宋体"/>
          <w:sz w:val="24"/>
          <w:szCs w:val="24"/>
        </w:rPr>
        <w:t>1.</w:t>
      </w:r>
      <w:r>
        <w:rPr>
          <w:rFonts w:hint="eastAsia" w:ascii="宋体" w:hAnsi="宋体" w:cs="宋体"/>
          <w:sz w:val="24"/>
          <w:szCs w:val="24"/>
        </w:rPr>
        <w:t>成交供应商须委派合格的专业技术人员，以上门服务的方式完成采购人标的范围内空调主机的检测、保养、维修等工作。如需要更换零部件维修，配件可采购人自行购买后由成交供应商安装；若采购人向成交供应商购买，则成交供应商须向采购人报价并征得同意后方可购买，费用由采购人承担；成交供应商对所有需要更换的零件进行免费更换及维修，但不含涉及回收冷媒的零件更换和电机的轴承。</w:t>
      </w:r>
    </w:p>
    <w:p>
      <w:pPr>
        <w:pStyle w:val="12"/>
        <w:ind w:left="0" w:leftChars="0" w:firstLine="0" w:firstLineChars="0"/>
        <w:rPr>
          <w:rFonts w:ascii="宋体" w:hAnsi="宋体" w:eastAsia="宋体" w:cs="宋体"/>
        </w:rPr>
      </w:pPr>
      <w:r>
        <w:rPr>
          <w:rFonts w:ascii="宋体" w:hAnsi="宋体" w:eastAsia="宋体" w:cs="宋体"/>
          <w:color w:val="FF0000"/>
        </w:rPr>
        <w:t xml:space="preserve"> </w:t>
      </w:r>
      <w:r>
        <w:rPr>
          <w:rFonts w:ascii="宋体" w:hAnsi="宋体" w:eastAsia="宋体" w:cs="宋体"/>
        </w:rPr>
        <w:t xml:space="preserve"> 2.</w:t>
      </w:r>
      <w:r>
        <w:t xml:space="preserve"> </w:t>
      </w:r>
      <w:r>
        <w:rPr>
          <w:rFonts w:hint="eastAsia" w:ascii="宋体" w:hAnsi="宋体" w:eastAsia="宋体" w:cs="宋体"/>
        </w:rPr>
        <w:t>成交供应商必须每一个月至少对广东金融学院校本部图书信息中心中央空调进行维保一次。</w:t>
      </w:r>
    </w:p>
    <w:p>
      <w:pPr>
        <w:spacing w:after="120"/>
        <w:ind w:firstLine="482" w:firstLineChars="200"/>
        <w:jc w:val="left"/>
        <w:rPr>
          <w:rFonts w:ascii="宋体" w:cs="宋体"/>
          <w:b/>
          <w:bCs/>
          <w:color w:val="000000"/>
          <w:sz w:val="24"/>
          <w:szCs w:val="24"/>
        </w:rPr>
      </w:pPr>
      <w:r>
        <w:rPr>
          <w:rFonts w:hint="eastAsia" w:ascii="宋体" w:hAnsi="宋体" w:cs="宋体"/>
          <w:b/>
          <w:bCs/>
          <w:color w:val="000000"/>
          <w:sz w:val="24"/>
          <w:szCs w:val="24"/>
        </w:rPr>
        <w:t>维保项目清单：</w:t>
      </w:r>
    </w:p>
    <w:tbl>
      <w:tblPr>
        <w:tblStyle w:val="13"/>
        <w:tblW w:w="7087" w:type="dxa"/>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2835"/>
        <w:gridCol w:w="170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992" w:type="dxa"/>
          </w:tcPr>
          <w:p>
            <w:pPr>
              <w:spacing w:after="120"/>
              <w:jc w:val="center"/>
              <w:rPr>
                <w:rFonts w:ascii="宋体" w:cs="宋体"/>
                <w:color w:val="000000"/>
                <w:kern w:val="0"/>
                <w:sz w:val="24"/>
                <w:szCs w:val="24"/>
              </w:rPr>
            </w:pPr>
            <w:r>
              <w:rPr>
                <w:rFonts w:hint="eastAsia" w:ascii="宋体" w:hAnsi="宋体" w:cs="宋体"/>
                <w:color w:val="000000"/>
                <w:kern w:val="0"/>
                <w:sz w:val="24"/>
                <w:szCs w:val="24"/>
              </w:rPr>
              <w:t>序号</w:t>
            </w:r>
          </w:p>
        </w:tc>
        <w:tc>
          <w:tcPr>
            <w:tcW w:w="2835" w:type="dxa"/>
          </w:tcPr>
          <w:p>
            <w:pPr>
              <w:spacing w:after="120"/>
              <w:jc w:val="center"/>
              <w:rPr>
                <w:rFonts w:ascii="宋体" w:cs="宋体"/>
                <w:color w:val="000000"/>
                <w:kern w:val="0"/>
                <w:sz w:val="24"/>
                <w:szCs w:val="24"/>
              </w:rPr>
            </w:pPr>
            <w:r>
              <w:rPr>
                <w:rFonts w:hint="eastAsia" w:ascii="宋体" w:hAnsi="宋体" w:cs="宋体"/>
                <w:color w:val="000000"/>
                <w:kern w:val="0"/>
                <w:sz w:val="24"/>
                <w:szCs w:val="24"/>
              </w:rPr>
              <w:t>项目名称</w:t>
            </w:r>
          </w:p>
        </w:tc>
        <w:tc>
          <w:tcPr>
            <w:tcW w:w="1701" w:type="dxa"/>
          </w:tcPr>
          <w:p>
            <w:pPr>
              <w:spacing w:after="120"/>
              <w:jc w:val="center"/>
              <w:rPr>
                <w:rFonts w:ascii="宋体" w:cs="宋体"/>
                <w:color w:val="000000"/>
                <w:kern w:val="0"/>
                <w:sz w:val="24"/>
                <w:szCs w:val="24"/>
              </w:rPr>
            </w:pPr>
            <w:r>
              <w:rPr>
                <w:rFonts w:hint="eastAsia" w:ascii="宋体" w:hAnsi="宋体" w:cs="宋体"/>
                <w:color w:val="000000"/>
                <w:kern w:val="0"/>
                <w:sz w:val="24"/>
                <w:szCs w:val="24"/>
              </w:rPr>
              <w:t>维保次数数量</w:t>
            </w:r>
          </w:p>
        </w:tc>
        <w:tc>
          <w:tcPr>
            <w:tcW w:w="1559" w:type="dxa"/>
          </w:tcPr>
          <w:p>
            <w:pPr>
              <w:spacing w:after="120"/>
              <w:jc w:val="center"/>
              <w:rPr>
                <w:rFonts w:ascii="宋体" w:cs="宋体"/>
                <w:color w:val="000000"/>
                <w:kern w:val="0"/>
                <w:sz w:val="24"/>
                <w:szCs w:val="24"/>
              </w:rPr>
            </w:pPr>
            <w:r>
              <w:rPr>
                <w:rFonts w:hint="eastAsia" w:ascii="宋体" w:hAnsi="宋体" w:cs="宋体"/>
                <w:color w:val="000000"/>
                <w:kern w:val="0"/>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widowControl/>
              <w:jc w:val="center"/>
              <w:textAlignment w:val="center"/>
              <w:rPr>
                <w:rFonts w:ascii="宋体" w:cs="宋体"/>
                <w:color w:val="000000"/>
                <w:kern w:val="0"/>
                <w:sz w:val="24"/>
                <w:szCs w:val="24"/>
              </w:rPr>
            </w:pPr>
            <w:r>
              <w:rPr>
                <w:rFonts w:ascii="宋体" w:hAnsi="宋体" w:cs="宋体"/>
                <w:color w:val="000000"/>
                <w:kern w:val="0"/>
                <w:sz w:val="24"/>
                <w:szCs w:val="24"/>
              </w:rPr>
              <w:t>1</w:t>
            </w:r>
          </w:p>
        </w:tc>
        <w:tc>
          <w:tcPr>
            <w:tcW w:w="2835" w:type="dxa"/>
            <w:vAlign w:val="center"/>
          </w:tcPr>
          <w:p>
            <w:pPr>
              <w:widowControl/>
              <w:jc w:val="center"/>
              <w:textAlignment w:val="center"/>
              <w:rPr>
                <w:rFonts w:ascii="宋体" w:cs="宋体"/>
                <w:color w:val="000000"/>
                <w:kern w:val="0"/>
                <w:sz w:val="24"/>
                <w:szCs w:val="24"/>
              </w:rPr>
            </w:pPr>
            <w:r>
              <w:rPr>
                <w:rFonts w:hint="eastAsia" w:ascii="宋体" w:hAnsi="宋体" w:cs="宋体"/>
                <w:color w:val="000000"/>
                <w:kern w:val="0"/>
                <w:sz w:val="24"/>
                <w:szCs w:val="24"/>
              </w:rPr>
              <w:t>电控箱维保检查</w:t>
            </w:r>
          </w:p>
        </w:tc>
        <w:tc>
          <w:tcPr>
            <w:tcW w:w="1701" w:type="dxa"/>
            <w:vAlign w:val="center"/>
          </w:tcPr>
          <w:p>
            <w:pPr>
              <w:widowControl/>
              <w:jc w:val="center"/>
              <w:textAlignment w:val="center"/>
              <w:rPr>
                <w:rFonts w:ascii="宋体" w:cs="宋体"/>
                <w:color w:val="000000"/>
                <w:kern w:val="0"/>
                <w:sz w:val="24"/>
                <w:szCs w:val="24"/>
              </w:rPr>
            </w:pPr>
          </w:p>
        </w:tc>
        <w:tc>
          <w:tcPr>
            <w:tcW w:w="1559" w:type="dxa"/>
          </w:tcPr>
          <w:p>
            <w:pPr>
              <w:spacing w:after="120"/>
              <w:ind w:left="840" w:firstLine="241" w:firstLineChars="100"/>
              <w:jc w:val="center"/>
              <w:rPr>
                <w:rFonts w:ascii="宋体" w:cs="宋体"/>
                <w:b/>
                <w:bCs/>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widowControl/>
              <w:jc w:val="center"/>
              <w:textAlignment w:val="center"/>
              <w:rPr>
                <w:rFonts w:ascii="宋体" w:cs="宋体"/>
                <w:color w:val="000000"/>
                <w:kern w:val="0"/>
                <w:sz w:val="24"/>
                <w:szCs w:val="24"/>
              </w:rPr>
            </w:pPr>
            <w:r>
              <w:rPr>
                <w:rFonts w:ascii="宋体" w:hAnsi="宋体" w:cs="宋体"/>
                <w:color w:val="000000"/>
                <w:kern w:val="0"/>
                <w:sz w:val="24"/>
                <w:szCs w:val="24"/>
              </w:rPr>
              <w:t>2</w:t>
            </w:r>
          </w:p>
        </w:tc>
        <w:tc>
          <w:tcPr>
            <w:tcW w:w="2835" w:type="dxa"/>
            <w:vAlign w:val="center"/>
          </w:tcPr>
          <w:p>
            <w:pPr>
              <w:widowControl/>
              <w:jc w:val="center"/>
              <w:textAlignment w:val="center"/>
              <w:rPr>
                <w:rFonts w:ascii="宋体" w:cs="宋体"/>
                <w:color w:val="000000"/>
                <w:kern w:val="0"/>
                <w:sz w:val="24"/>
                <w:szCs w:val="24"/>
              </w:rPr>
            </w:pPr>
            <w:r>
              <w:rPr>
                <w:rFonts w:hint="eastAsia" w:ascii="宋体" w:hAnsi="宋体" w:cs="宋体"/>
                <w:color w:val="000000"/>
                <w:kern w:val="0"/>
                <w:sz w:val="24"/>
                <w:szCs w:val="24"/>
              </w:rPr>
              <w:t>水冷螺杆式机组维护</w:t>
            </w:r>
          </w:p>
        </w:tc>
        <w:tc>
          <w:tcPr>
            <w:tcW w:w="1701" w:type="dxa"/>
            <w:vAlign w:val="center"/>
          </w:tcPr>
          <w:p>
            <w:pPr>
              <w:widowControl/>
              <w:jc w:val="center"/>
              <w:textAlignment w:val="center"/>
              <w:rPr>
                <w:rFonts w:ascii="宋体" w:cs="宋体"/>
                <w:color w:val="000000"/>
                <w:kern w:val="0"/>
                <w:sz w:val="24"/>
                <w:szCs w:val="24"/>
              </w:rPr>
            </w:pPr>
          </w:p>
        </w:tc>
        <w:tc>
          <w:tcPr>
            <w:tcW w:w="1559" w:type="dxa"/>
          </w:tcPr>
          <w:p>
            <w:pPr>
              <w:spacing w:after="120"/>
              <w:ind w:left="840" w:firstLine="241" w:firstLineChars="100"/>
              <w:jc w:val="center"/>
              <w:rPr>
                <w:rFonts w:ascii="宋体" w:cs="宋体"/>
                <w:b/>
                <w:bCs/>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widowControl/>
              <w:jc w:val="center"/>
              <w:textAlignment w:val="center"/>
              <w:rPr>
                <w:rFonts w:ascii="宋体" w:cs="宋体"/>
                <w:color w:val="000000"/>
                <w:kern w:val="0"/>
                <w:sz w:val="24"/>
                <w:szCs w:val="24"/>
              </w:rPr>
            </w:pPr>
            <w:r>
              <w:rPr>
                <w:rFonts w:ascii="宋体" w:hAnsi="宋体" w:cs="宋体"/>
                <w:color w:val="000000"/>
                <w:kern w:val="0"/>
                <w:sz w:val="24"/>
                <w:szCs w:val="24"/>
              </w:rPr>
              <w:t>3</w:t>
            </w:r>
          </w:p>
        </w:tc>
        <w:tc>
          <w:tcPr>
            <w:tcW w:w="2835" w:type="dxa"/>
            <w:vAlign w:val="center"/>
          </w:tcPr>
          <w:p>
            <w:pPr>
              <w:widowControl/>
              <w:jc w:val="center"/>
              <w:textAlignment w:val="center"/>
              <w:rPr>
                <w:rFonts w:ascii="宋体" w:cs="宋体"/>
                <w:color w:val="000000"/>
                <w:kern w:val="0"/>
                <w:sz w:val="24"/>
                <w:szCs w:val="24"/>
              </w:rPr>
            </w:pPr>
            <w:r>
              <w:rPr>
                <w:rFonts w:hint="eastAsia" w:ascii="宋体" w:hAnsi="宋体" w:cs="宋体"/>
                <w:color w:val="000000"/>
                <w:kern w:val="0"/>
                <w:sz w:val="24"/>
                <w:szCs w:val="24"/>
              </w:rPr>
              <w:t>冷却</w:t>
            </w:r>
            <w:r>
              <w:rPr>
                <w:rFonts w:ascii="宋体" w:hAnsi="宋体" w:cs="宋体"/>
                <w:color w:val="000000"/>
                <w:kern w:val="0"/>
                <w:sz w:val="24"/>
                <w:szCs w:val="24"/>
              </w:rPr>
              <w:t>/</w:t>
            </w:r>
            <w:r>
              <w:rPr>
                <w:rFonts w:hint="eastAsia" w:ascii="宋体" w:hAnsi="宋体" w:cs="宋体"/>
                <w:color w:val="000000"/>
                <w:kern w:val="0"/>
                <w:sz w:val="24"/>
                <w:szCs w:val="24"/>
              </w:rPr>
              <w:t>冷冻循环水泵维护</w:t>
            </w:r>
          </w:p>
        </w:tc>
        <w:tc>
          <w:tcPr>
            <w:tcW w:w="1701" w:type="dxa"/>
            <w:vAlign w:val="center"/>
          </w:tcPr>
          <w:p>
            <w:pPr>
              <w:widowControl/>
              <w:jc w:val="center"/>
              <w:textAlignment w:val="center"/>
              <w:rPr>
                <w:rFonts w:ascii="宋体" w:cs="宋体"/>
                <w:color w:val="000000"/>
                <w:kern w:val="0"/>
                <w:sz w:val="24"/>
                <w:szCs w:val="24"/>
              </w:rPr>
            </w:pPr>
          </w:p>
        </w:tc>
        <w:tc>
          <w:tcPr>
            <w:tcW w:w="1559" w:type="dxa"/>
          </w:tcPr>
          <w:p>
            <w:pPr>
              <w:spacing w:after="120"/>
              <w:ind w:left="840" w:firstLine="241" w:firstLineChars="100"/>
              <w:jc w:val="center"/>
              <w:rPr>
                <w:rFonts w:ascii="宋体" w:cs="宋体"/>
                <w:b/>
                <w:bCs/>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widowControl/>
              <w:jc w:val="center"/>
              <w:textAlignment w:val="center"/>
              <w:rPr>
                <w:rFonts w:ascii="宋体" w:cs="宋体"/>
                <w:color w:val="000000"/>
                <w:kern w:val="0"/>
                <w:sz w:val="24"/>
                <w:szCs w:val="24"/>
              </w:rPr>
            </w:pPr>
            <w:r>
              <w:rPr>
                <w:rFonts w:ascii="宋体" w:hAnsi="宋体" w:cs="宋体"/>
                <w:color w:val="000000"/>
                <w:kern w:val="0"/>
                <w:sz w:val="24"/>
                <w:szCs w:val="24"/>
              </w:rPr>
              <w:t>4</w:t>
            </w:r>
          </w:p>
        </w:tc>
        <w:tc>
          <w:tcPr>
            <w:tcW w:w="2835" w:type="dxa"/>
            <w:vAlign w:val="center"/>
          </w:tcPr>
          <w:p>
            <w:pPr>
              <w:widowControl/>
              <w:jc w:val="center"/>
              <w:textAlignment w:val="center"/>
              <w:rPr>
                <w:rFonts w:ascii="宋体" w:cs="宋体"/>
                <w:color w:val="000000"/>
                <w:kern w:val="0"/>
                <w:sz w:val="24"/>
                <w:szCs w:val="24"/>
              </w:rPr>
            </w:pPr>
            <w:r>
              <w:rPr>
                <w:rFonts w:hint="eastAsia" w:ascii="宋体" w:hAnsi="宋体" w:cs="宋体"/>
                <w:color w:val="000000"/>
                <w:kern w:val="0"/>
                <w:sz w:val="24"/>
                <w:szCs w:val="24"/>
              </w:rPr>
              <w:t>冷却塔清洗维护</w:t>
            </w:r>
          </w:p>
        </w:tc>
        <w:tc>
          <w:tcPr>
            <w:tcW w:w="1701" w:type="dxa"/>
            <w:vAlign w:val="center"/>
          </w:tcPr>
          <w:p>
            <w:pPr>
              <w:widowControl/>
              <w:jc w:val="center"/>
              <w:textAlignment w:val="center"/>
              <w:rPr>
                <w:rFonts w:ascii="宋体" w:cs="宋体"/>
                <w:color w:val="000000"/>
                <w:kern w:val="0"/>
                <w:sz w:val="24"/>
                <w:szCs w:val="24"/>
              </w:rPr>
            </w:pPr>
          </w:p>
        </w:tc>
        <w:tc>
          <w:tcPr>
            <w:tcW w:w="1559" w:type="dxa"/>
          </w:tcPr>
          <w:p>
            <w:pPr>
              <w:spacing w:after="120"/>
              <w:ind w:left="840" w:firstLine="241" w:firstLineChars="100"/>
              <w:jc w:val="center"/>
              <w:rPr>
                <w:rFonts w:ascii="宋体" w:cs="宋体"/>
                <w:b/>
                <w:bCs/>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widowControl/>
              <w:jc w:val="center"/>
              <w:textAlignment w:val="center"/>
              <w:rPr>
                <w:rFonts w:ascii="宋体" w:cs="宋体"/>
                <w:color w:val="000000"/>
                <w:kern w:val="0"/>
                <w:sz w:val="24"/>
                <w:szCs w:val="24"/>
              </w:rPr>
            </w:pPr>
            <w:r>
              <w:rPr>
                <w:rFonts w:ascii="宋体" w:hAnsi="宋体" w:cs="宋体"/>
                <w:color w:val="000000"/>
                <w:kern w:val="0"/>
                <w:sz w:val="24"/>
                <w:szCs w:val="24"/>
              </w:rPr>
              <w:t>5</w:t>
            </w:r>
          </w:p>
        </w:tc>
        <w:tc>
          <w:tcPr>
            <w:tcW w:w="2835" w:type="dxa"/>
            <w:vAlign w:val="center"/>
          </w:tcPr>
          <w:p>
            <w:pPr>
              <w:widowControl/>
              <w:jc w:val="center"/>
              <w:textAlignment w:val="center"/>
              <w:rPr>
                <w:rFonts w:ascii="宋体" w:cs="宋体"/>
                <w:color w:val="000000"/>
                <w:kern w:val="0"/>
                <w:sz w:val="24"/>
                <w:szCs w:val="24"/>
              </w:rPr>
            </w:pPr>
            <w:r>
              <w:rPr>
                <w:rFonts w:hint="eastAsia" w:ascii="宋体" w:hAnsi="宋体" w:cs="宋体"/>
                <w:color w:val="000000"/>
                <w:kern w:val="0"/>
                <w:sz w:val="24"/>
                <w:szCs w:val="24"/>
              </w:rPr>
              <w:t>冷却塔电机维护</w:t>
            </w:r>
          </w:p>
        </w:tc>
        <w:tc>
          <w:tcPr>
            <w:tcW w:w="1701" w:type="dxa"/>
            <w:vAlign w:val="center"/>
          </w:tcPr>
          <w:p>
            <w:pPr>
              <w:widowControl/>
              <w:jc w:val="center"/>
              <w:textAlignment w:val="center"/>
              <w:rPr>
                <w:rFonts w:ascii="宋体" w:cs="宋体"/>
                <w:color w:val="000000"/>
                <w:kern w:val="0"/>
                <w:sz w:val="24"/>
                <w:szCs w:val="24"/>
              </w:rPr>
            </w:pPr>
          </w:p>
        </w:tc>
        <w:tc>
          <w:tcPr>
            <w:tcW w:w="1559" w:type="dxa"/>
          </w:tcPr>
          <w:p>
            <w:pPr>
              <w:spacing w:after="120"/>
              <w:ind w:left="840" w:firstLine="241" w:firstLineChars="100"/>
              <w:jc w:val="center"/>
              <w:rPr>
                <w:rFonts w:ascii="宋体" w:cs="宋体"/>
                <w:b/>
                <w:bCs/>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widowControl/>
              <w:jc w:val="center"/>
              <w:textAlignment w:val="center"/>
              <w:rPr>
                <w:rFonts w:ascii="宋体" w:cs="宋体"/>
                <w:color w:val="000000"/>
                <w:kern w:val="0"/>
                <w:sz w:val="24"/>
                <w:szCs w:val="24"/>
              </w:rPr>
            </w:pPr>
            <w:r>
              <w:rPr>
                <w:rFonts w:ascii="宋体" w:hAnsi="宋体" w:cs="宋体"/>
                <w:color w:val="000000"/>
                <w:kern w:val="0"/>
                <w:sz w:val="24"/>
                <w:szCs w:val="24"/>
              </w:rPr>
              <w:t>6</w:t>
            </w:r>
          </w:p>
        </w:tc>
        <w:tc>
          <w:tcPr>
            <w:tcW w:w="2835" w:type="dxa"/>
            <w:vAlign w:val="center"/>
          </w:tcPr>
          <w:p>
            <w:pPr>
              <w:widowControl/>
              <w:jc w:val="center"/>
              <w:textAlignment w:val="center"/>
              <w:rPr>
                <w:rFonts w:ascii="宋体" w:cs="宋体"/>
                <w:color w:val="000000"/>
                <w:kern w:val="0"/>
                <w:sz w:val="24"/>
                <w:szCs w:val="24"/>
              </w:rPr>
            </w:pPr>
            <w:r>
              <w:rPr>
                <w:rFonts w:hint="eastAsia" w:ascii="宋体" w:hAnsi="宋体" w:cs="宋体"/>
                <w:color w:val="000000"/>
                <w:kern w:val="0"/>
                <w:sz w:val="24"/>
                <w:szCs w:val="24"/>
              </w:rPr>
              <w:t>风柜清洗维护</w:t>
            </w:r>
          </w:p>
        </w:tc>
        <w:tc>
          <w:tcPr>
            <w:tcW w:w="1701" w:type="dxa"/>
            <w:vAlign w:val="center"/>
          </w:tcPr>
          <w:p>
            <w:pPr>
              <w:widowControl/>
              <w:jc w:val="center"/>
              <w:textAlignment w:val="center"/>
              <w:rPr>
                <w:rFonts w:ascii="宋体" w:cs="宋体"/>
                <w:color w:val="000000"/>
                <w:kern w:val="0"/>
                <w:sz w:val="24"/>
                <w:szCs w:val="24"/>
              </w:rPr>
            </w:pPr>
          </w:p>
        </w:tc>
        <w:tc>
          <w:tcPr>
            <w:tcW w:w="1559" w:type="dxa"/>
          </w:tcPr>
          <w:p>
            <w:pPr>
              <w:spacing w:after="120"/>
              <w:ind w:left="840" w:firstLine="241" w:firstLineChars="100"/>
              <w:jc w:val="center"/>
              <w:rPr>
                <w:rFonts w:ascii="宋体" w:cs="宋体"/>
                <w:b/>
                <w:bCs/>
                <w:color w:val="000000"/>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widowControl/>
              <w:jc w:val="center"/>
              <w:textAlignment w:val="center"/>
              <w:rPr>
                <w:rFonts w:ascii="宋体" w:cs="宋体"/>
                <w:color w:val="000000"/>
                <w:kern w:val="0"/>
                <w:sz w:val="24"/>
                <w:szCs w:val="24"/>
              </w:rPr>
            </w:pPr>
            <w:r>
              <w:rPr>
                <w:rFonts w:ascii="宋体" w:hAnsi="宋体" w:cs="宋体"/>
                <w:color w:val="000000"/>
                <w:kern w:val="0"/>
                <w:sz w:val="24"/>
                <w:szCs w:val="24"/>
              </w:rPr>
              <w:t>7</w:t>
            </w:r>
          </w:p>
        </w:tc>
        <w:tc>
          <w:tcPr>
            <w:tcW w:w="2835" w:type="dxa"/>
            <w:vAlign w:val="center"/>
          </w:tcPr>
          <w:p>
            <w:pPr>
              <w:widowControl/>
              <w:jc w:val="center"/>
              <w:textAlignment w:val="center"/>
              <w:rPr>
                <w:rFonts w:ascii="宋体" w:cs="宋体"/>
                <w:color w:val="000000"/>
                <w:kern w:val="0"/>
                <w:sz w:val="24"/>
                <w:szCs w:val="24"/>
              </w:rPr>
            </w:pPr>
            <w:r>
              <w:rPr>
                <w:rFonts w:hint="eastAsia" w:ascii="宋体" w:hAnsi="宋体" w:cs="宋体"/>
                <w:color w:val="000000"/>
                <w:kern w:val="0"/>
                <w:sz w:val="24"/>
                <w:szCs w:val="24"/>
              </w:rPr>
              <w:t>冷却、冷冻水质处理</w:t>
            </w:r>
          </w:p>
        </w:tc>
        <w:tc>
          <w:tcPr>
            <w:tcW w:w="1701" w:type="dxa"/>
            <w:vAlign w:val="center"/>
          </w:tcPr>
          <w:p>
            <w:pPr>
              <w:widowControl/>
              <w:jc w:val="center"/>
              <w:textAlignment w:val="center"/>
              <w:rPr>
                <w:rFonts w:ascii="宋体" w:cs="宋体"/>
                <w:color w:val="000000"/>
                <w:kern w:val="0"/>
                <w:sz w:val="24"/>
                <w:szCs w:val="24"/>
              </w:rPr>
            </w:pPr>
          </w:p>
        </w:tc>
        <w:tc>
          <w:tcPr>
            <w:tcW w:w="1559" w:type="dxa"/>
          </w:tcPr>
          <w:p>
            <w:pPr>
              <w:spacing w:after="120"/>
              <w:ind w:left="840" w:firstLine="241" w:firstLineChars="100"/>
              <w:jc w:val="center"/>
              <w:rPr>
                <w:rFonts w:ascii="宋体" w:cs="宋体"/>
                <w:b/>
                <w:bCs/>
                <w:color w:val="000000"/>
                <w:sz w:val="24"/>
                <w:szCs w:val="24"/>
              </w:rPr>
            </w:pPr>
          </w:p>
        </w:tc>
      </w:tr>
    </w:tbl>
    <w:p>
      <w:pPr>
        <w:spacing w:line="360" w:lineRule="auto"/>
        <w:ind w:firstLine="420"/>
        <w:rPr>
          <w:rFonts w:ascii="宋体" w:cs="宋体"/>
          <w:sz w:val="24"/>
          <w:szCs w:val="24"/>
        </w:rPr>
      </w:pPr>
      <w:r>
        <w:rPr>
          <w:rFonts w:ascii="宋体" w:hAnsi="宋体" w:cs="宋体"/>
          <w:sz w:val="24"/>
          <w:szCs w:val="24"/>
        </w:rPr>
        <w:t>3</w:t>
      </w:r>
      <w:r>
        <w:rPr>
          <w:rFonts w:ascii="宋体" w:cs="宋体"/>
          <w:sz w:val="24"/>
          <w:szCs w:val="24"/>
        </w:rPr>
        <w:t>.</w:t>
      </w:r>
      <w:r>
        <w:rPr>
          <w:rFonts w:hint="eastAsia" w:ascii="宋体" w:hAnsi="宋体" w:cs="宋体"/>
          <w:sz w:val="24"/>
          <w:szCs w:val="24"/>
        </w:rPr>
        <w:t>成交供应商须对采购人的主要设备建立维保档案，并将其运行状况、保养内容、测量记录、紧急维修情况、使用建议等记录在相应的设备档案中，同时作为完成维保的记录，交采购人指派的负责人签名确认。</w:t>
      </w:r>
    </w:p>
    <w:p>
      <w:pPr>
        <w:spacing w:line="360" w:lineRule="auto"/>
        <w:ind w:firstLine="420"/>
        <w:rPr>
          <w:rFonts w:ascii="宋体" w:cs="宋体"/>
          <w:sz w:val="24"/>
          <w:szCs w:val="24"/>
        </w:rPr>
      </w:pPr>
      <w:r>
        <w:rPr>
          <w:rFonts w:ascii="宋体" w:hAnsi="宋体" w:cs="宋体"/>
          <w:sz w:val="24"/>
          <w:szCs w:val="24"/>
        </w:rPr>
        <w:t>4</w:t>
      </w:r>
      <w:r>
        <w:rPr>
          <w:rFonts w:ascii="宋体" w:cs="宋体"/>
          <w:sz w:val="24"/>
          <w:szCs w:val="24"/>
        </w:rPr>
        <w:t>.</w:t>
      </w:r>
      <w:r>
        <w:rPr>
          <w:rFonts w:hint="eastAsia" w:ascii="宋体" w:hAnsi="宋体" w:cs="宋体"/>
          <w:sz w:val="24"/>
          <w:szCs w:val="24"/>
        </w:rPr>
        <w:t>在维保过程中发现设备重大故障或存在重大故障隐患的，含：冷水机组的压缩机、换热器、回收冷媒。成交供应商应汇总问题汇报采购人，经采购人确认后，可再进行报价维修或整改或更换。</w:t>
      </w:r>
    </w:p>
    <w:p>
      <w:pPr>
        <w:spacing w:line="360" w:lineRule="auto"/>
        <w:ind w:firstLine="420"/>
        <w:rPr>
          <w:rFonts w:ascii="宋体" w:cs="宋体"/>
          <w:sz w:val="24"/>
          <w:szCs w:val="24"/>
        </w:rPr>
      </w:pPr>
      <w:r>
        <w:rPr>
          <w:rFonts w:ascii="宋体" w:hAnsi="宋体" w:cs="宋体"/>
          <w:sz w:val="24"/>
          <w:szCs w:val="24"/>
        </w:rPr>
        <w:t>5</w:t>
      </w:r>
      <w:r>
        <w:rPr>
          <w:rFonts w:ascii="宋体" w:cs="宋体"/>
          <w:sz w:val="24"/>
          <w:szCs w:val="24"/>
        </w:rPr>
        <w:t>.</w:t>
      </w:r>
      <w:r>
        <w:rPr>
          <w:rFonts w:hint="eastAsia" w:ascii="宋体" w:hAnsi="宋体" w:cs="宋体"/>
          <w:sz w:val="24"/>
          <w:szCs w:val="24"/>
        </w:rPr>
        <w:t>成交供应商报告书内容须真实记录被检测设备状况，若发现有虚假数据或行为，以及不能真实反映被保养设备性能的，采购人有权追究成交供应商责任，造成采购人损失的，则赔偿采购人的相关损失。</w:t>
      </w:r>
    </w:p>
    <w:p>
      <w:pPr>
        <w:spacing w:line="360" w:lineRule="auto"/>
        <w:ind w:firstLine="420"/>
        <w:rPr>
          <w:rFonts w:ascii="宋体" w:cs="宋体"/>
          <w:sz w:val="24"/>
          <w:szCs w:val="24"/>
        </w:rPr>
      </w:pPr>
      <w:r>
        <w:rPr>
          <w:rFonts w:ascii="宋体" w:hAnsi="宋体" w:cs="宋体"/>
          <w:sz w:val="24"/>
          <w:szCs w:val="24"/>
        </w:rPr>
        <w:t>6</w:t>
      </w:r>
      <w:r>
        <w:rPr>
          <w:rFonts w:ascii="宋体" w:cs="宋体"/>
          <w:sz w:val="24"/>
          <w:szCs w:val="24"/>
        </w:rPr>
        <w:t>.</w:t>
      </w:r>
      <w:r>
        <w:rPr>
          <w:rFonts w:hint="eastAsia" w:ascii="宋体" w:hAnsi="宋体" w:cs="宋体"/>
          <w:sz w:val="24"/>
          <w:szCs w:val="24"/>
        </w:rPr>
        <w:t>成交供应商由于保养维修不当导致设备、配件损坏，或造成采购人在用办公设备损坏，由成交供应商按损坏物原价赔偿。</w:t>
      </w:r>
    </w:p>
    <w:p>
      <w:pPr>
        <w:spacing w:line="360" w:lineRule="auto"/>
        <w:ind w:firstLine="420"/>
        <w:rPr>
          <w:rFonts w:ascii="宋体" w:cs="宋体"/>
          <w:sz w:val="24"/>
          <w:szCs w:val="24"/>
        </w:rPr>
      </w:pPr>
      <w:r>
        <w:rPr>
          <w:rFonts w:ascii="宋体" w:hAnsi="宋体" w:cs="宋体"/>
          <w:sz w:val="24"/>
          <w:szCs w:val="24"/>
        </w:rPr>
        <w:t>7</w:t>
      </w:r>
      <w:r>
        <w:rPr>
          <w:rFonts w:ascii="宋体" w:cs="宋体"/>
          <w:sz w:val="24"/>
          <w:szCs w:val="24"/>
        </w:rPr>
        <w:t>.</w:t>
      </w:r>
      <w:r>
        <w:rPr>
          <w:rFonts w:hint="eastAsia" w:ascii="宋体" w:hAnsi="宋体" w:cs="宋体"/>
          <w:sz w:val="24"/>
          <w:szCs w:val="24"/>
        </w:rPr>
        <w:t>成交供应商在采购人现场进行施工作业时，应自行了解现场危害或潜在的危险以及防护措施；成交供应商维保人员须严格按操作规程工作，如登高、电力、机械作业等必须做好相关的安全防护措施，在保养维修期间如因其本人疏忽、未按安全操作规程操作、未带证作业，以及意外造成的工伤事故，均由成交供应商自行负责，采购人不承担任何责任。</w:t>
      </w:r>
    </w:p>
    <w:p>
      <w:pPr>
        <w:spacing w:line="360" w:lineRule="auto"/>
        <w:ind w:firstLine="420"/>
        <w:rPr>
          <w:rFonts w:ascii="宋体" w:cs="宋体"/>
          <w:sz w:val="24"/>
          <w:szCs w:val="24"/>
        </w:rPr>
      </w:pPr>
      <w:r>
        <w:rPr>
          <w:rFonts w:ascii="宋体" w:hAnsi="宋体" w:cs="宋体"/>
          <w:sz w:val="24"/>
          <w:szCs w:val="24"/>
        </w:rPr>
        <w:t>8</w:t>
      </w:r>
      <w:r>
        <w:rPr>
          <w:rFonts w:ascii="宋体" w:cs="宋体"/>
          <w:sz w:val="24"/>
          <w:szCs w:val="24"/>
        </w:rPr>
        <w:t>.</w:t>
      </w:r>
      <w:r>
        <w:rPr>
          <w:rFonts w:hint="eastAsia" w:ascii="宋体" w:hAnsi="宋体" w:cs="宋体"/>
          <w:sz w:val="24"/>
          <w:szCs w:val="24"/>
        </w:rPr>
        <w:t>若出现成交供应商员工在保养维修中，盗窃采购人财物的，由成交供应商按被盗窃财物原价赔偿，情节严重的移送司法部门处理。</w:t>
      </w:r>
      <w:r>
        <w:rPr>
          <w:rFonts w:ascii="宋体" w:hAnsi="宋体" w:cs="宋体"/>
          <w:sz w:val="24"/>
          <w:szCs w:val="24"/>
        </w:rPr>
        <w:t xml:space="preserve"> </w:t>
      </w:r>
    </w:p>
    <w:p>
      <w:pPr>
        <w:spacing w:line="360" w:lineRule="auto"/>
        <w:ind w:firstLine="420"/>
        <w:rPr>
          <w:rFonts w:ascii="宋体" w:cs="宋体"/>
          <w:sz w:val="24"/>
          <w:szCs w:val="24"/>
        </w:rPr>
      </w:pPr>
      <w:r>
        <w:rPr>
          <w:rFonts w:ascii="宋体" w:hAnsi="宋体" w:cs="宋体"/>
          <w:sz w:val="24"/>
          <w:szCs w:val="24"/>
        </w:rPr>
        <w:t>9</w:t>
      </w:r>
      <w:r>
        <w:rPr>
          <w:rFonts w:ascii="宋体" w:cs="宋体"/>
          <w:sz w:val="24"/>
          <w:szCs w:val="24"/>
        </w:rPr>
        <w:t>.</w:t>
      </w:r>
      <w:r>
        <w:rPr>
          <w:rFonts w:hint="eastAsia" w:ascii="宋体" w:hAnsi="宋体" w:cs="宋体"/>
          <w:sz w:val="24"/>
          <w:szCs w:val="24"/>
        </w:rPr>
        <w:t>未经采购人书面同意，成交供应商不得擅自将其维保工作转让给第三方进行。</w:t>
      </w:r>
    </w:p>
    <w:p>
      <w:pPr>
        <w:spacing w:line="360" w:lineRule="auto"/>
        <w:ind w:firstLine="420"/>
        <w:rPr>
          <w:rFonts w:ascii="宋体" w:cs="宋体"/>
          <w:sz w:val="24"/>
          <w:szCs w:val="24"/>
        </w:rPr>
      </w:pPr>
      <w:r>
        <w:rPr>
          <w:rFonts w:ascii="宋体" w:hAnsi="宋体" w:cs="宋体"/>
          <w:sz w:val="24"/>
          <w:szCs w:val="24"/>
        </w:rPr>
        <w:t>10</w:t>
      </w:r>
      <w:r>
        <w:rPr>
          <w:rFonts w:ascii="宋体" w:cs="宋体"/>
          <w:sz w:val="24"/>
          <w:szCs w:val="24"/>
        </w:rPr>
        <w:t>.</w:t>
      </w:r>
      <w:r>
        <w:rPr>
          <w:rFonts w:hint="eastAsia" w:ascii="宋体" w:hAnsi="宋体" w:cs="宋体"/>
          <w:sz w:val="24"/>
          <w:szCs w:val="24"/>
        </w:rPr>
        <w:t>成交供应商须给维修人员购买人员意外伤害险等保险。</w:t>
      </w:r>
    </w:p>
    <w:p>
      <w:pPr>
        <w:spacing w:line="360" w:lineRule="auto"/>
        <w:ind w:firstLine="420"/>
        <w:rPr>
          <w:rFonts w:ascii="宋体" w:cs="宋体"/>
          <w:sz w:val="24"/>
          <w:szCs w:val="24"/>
        </w:rPr>
      </w:pPr>
      <w:r>
        <w:rPr>
          <w:rFonts w:ascii="宋体" w:hAnsi="宋体" w:cs="宋体"/>
          <w:sz w:val="24"/>
          <w:szCs w:val="24"/>
        </w:rPr>
        <w:t>11</w:t>
      </w:r>
      <w:r>
        <w:rPr>
          <w:rFonts w:ascii="宋体" w:cs="宋体"/>
          <w:sz w:val="24"/>
          <w:szCs w:val="24"/>
        </w:rPr>
        <w:t>.</w:t>
      </w:r>
      <w:r>
        <w:rPr>
          <w:rFonts w:hint="eastAsia" w:ascii="宋体" w:hAnsi="宋体" w:cs="宋体"/>
          <w:sz w:val="24"/>
          <w:szCs w:val="24"/>
        </w:rPr>
        <w:t>成交供应商人员应严格遵守采购人的各项规章制度。</w:t>
      </w:r>
    </w:p>
    <w:p>
      <w:pPr>
        <w:spacing w:line="360" w:lineRule="auto"/>
        <w:ind w:firstLine="420"/>
        <w:rPr>
          <w:rFonts w:ascii="宋体" w:cs="宋体"/>
          <w:sz w:val="24"/>
          <w:szCs w:val="24"/>
        </w:rPr>
      </w:pPr>
      <w:r>
        <w:rPr>
          <w:rFonts w:ascii="宋体" w:hAnsi="宋体" w:cs="宋体"/>
          <w:sz w:val="24"/>
          <w:szCs w:val="24"/>
        </w:rPr>
        <w:t>12</w:t>
      </w:r>
      <w:r>
        <w:rPr>
          <w:rFonts w:ascii="宋体" w:cs="宋体"/>
          <w:sz w:val="24"/>
          <w:szCs w:val="24"/>
        </w:rPr>
        <w:t>.</w:t>
      </w:r>
      <w:r>
        <w:rPr>
          <w:rFonts w:hint="eastAsia" w:ascii="宋体" w:hAnsi="宋体" w:cs="宋体"/>
          <w:sz w:val="24"/>
          <w:szCs w:val="24"/>
        </w:rPr>
        <w:t>如成交供应商提供的维修保养服务，设备问题没有解决或维保目的没有达到预期效果，采购人有权拒绝支付该项维修保养款项。</w:t>
      </w:r>
    </w:p>
    <w:p>
      <w:pPr>
        <w:spacing w:line="360" w:lineRule="auto"/>
        <w:ind w:firstLine="420"/>
        <w:rPr>
          <w:rFonts w:ascii="宋体" w:cs="宋体"/>
          <w:sz w:val="24"/>
          <w:szCs w:val="24"/>
        </w:rPr>
      </w:pPr>
      <w:r>
        <w:rPr>
          <w:rFonts w:ascii="宋体" w:hAnsi="宋体" w:cs="宋体"/>
          <w:sz w:val="24"/>
          <w:szCs w:val="24"/>
        </w:rPr>
        <w:t>13</w:t>
      </w:r>
      <w:r>
        <w:rPr>
          <w:rFonts w:ascii="宋体" w:cs="宋体"/>
          <w:sz w:val="24"/>
          <w:szCs w:val="24"/>
        </w:rPr>
        <w:t>.</w:t>
      </w:r>
      <w:r>
        <w:rPr>
          <w:rFonts w:hint="eastAsia" w:ascii="宋体" w:hAnsi="宋体" w:cs="宋体"/>
          <w:sz w:val="24"/>
          <w:szCs w:val="24"/>
        </w:rPr>
        <w:t>如成交供应商弄虚作假，服务内容及工作量和实际验收不符，采购人有权拒绝支付本期服务款项，并视情况可以处罚合同价</w:t>
      </w:r>
      <w:r>
        <w:rPr>
          <w:rFonts w:ascii="宋体" w:hAnsi="宋体" w:cs="宋体"/>
          <w:sz w:val="24"/>
          <w:szCs w:val="24"/>
        </w:rPr>
        <w:t>5%</w:t>
      </w:r>
      <w:r>
        <w:rPr>
          <w:rFonts w:hint="eastAsia" w:ascii="宋体" w:hAnsi="宋体" w:cs="宋体"/>
          <w:sz w:val="24"/>
          <w:szCs w:val="24"/>
        </w:rPr>
        <w:t>以下罚款，发现两次弄虚作假问题，采购人可单方面终止合同，不算违约。</w:t>
      </w:r>
    </w:p>
    <w:p>
      <w:pPr>
        <w:spacing w:line="360" w:lineRule="auto"/>
        <w:ind w:firstLine="420"/>
        <w:rPr>
          <w:rFonts w:ascii="宋体" w:cs="宋体"/>
          <w:sz w:val="24"/>
          <w:szCs w:val="24"/>
        </w:rPr>
      </w:pPr>
      <w:r>
        <w:rPr>
          <w:rFonts w:ascii="宋体" w:hAnsi="宋体" w:cs="宋体"/>
          <w:sz w:val="24"/>
          <w:szCs w:val="24"/>
        </w:rPr>
        <w:t>14</w:t>
      </w:r>
      <w:r>
        <w:rPr>
          <w:rFonts w:ascii="宋体" w:cs="宋体"/>
          <w:sz w:val="24"/>
          <w:szCs w:val="24"/>
        </w:rPr>
        <w:t>.</w:t>
      </w:r>
      <w:r>
        <w:rPr>
          <w:rFonts w:hint="eastAsia" w:ascii="宋体" w:hAnsi="宋体" w:cs="宋体"/>
          <w:sz w:val="24"/>
          <w:szCs w:val="24"/>
        </w:rPr>
        <w:t>成交供应商因内部问题无法妥善解决影响采购人正常运行，甚至给采购人带来负面影响（例如成交供应商内部劳资问题或涉及赔偿问题等），采购人可视情况对成交供应商处罚合同价</w:t>
      </w:r>
      <w:r>
        <w:rPr>
          <w:rFonts w:ascii="宋体" w:hAnsi="宋体" w:cs="宋体"/>
          <w:sz w:val="24"/>
          <w:szCs w:val="24"/>
        </w:rPr>
        <w:t>5%</w:t>
      </w:r>
      <w:r>
        <w:rPr>
          <w:rFonts w:hint="eastAsia" w:ascii="宋体" w:hAnsi="宋体" w:cs="宋体"/>
          <w:sz w:val="24"/>
          <w:szCs w:val="24"/>
        </w:rPr>
        <w:t>以下罚款。</w:t>
      </w:r>
    </w:p>
    <w:p>
      <w:pPr>
        <w:spacing w:line="360" w:lineRule="auto"/>
        <w:ind w:firstLine="420"/>
        <w:rPr>
          <w:rFonts w:ascii="宋体" w:cs="宋体"/>
          <w:sz w:val="24"/>
          <w:szCs w:val="24"/>
        </w:rPr>
      </w:pPr>
      <w:r>
        <w:rPr>
          <w:rFonts w:ascii="宋体" w:hAnsi="宋体" w:cs="宋体"/>
          <w:sz w:val="24"/>
          <w:szCs w:val="24"/>
        </w:rPr>
        <w:t>15</w:t>
      </w:r>
      <w:r>
        <w:rPr>
          <w:rFonts w:ascii="宋体" w:cs="宋体"/>
          <w:sz w:val="24"/>
          <w:szCs w:val="24"/>
        </w:rPr>
        <w:t>.</w:t>
      </w:r>
      <w:r>
        <w:rPr>
          <w:rFonts w:hint="eastAsia" w:ascii="宋体" w:hAnsi="宋体" w:cs="宋体"/>
          <w:sz w:val="24"/>
          <w:szCs w:val="24"/>
        </w:rPr>
        <w:t>在合同期内，采购人请成交供应商以外的任何单位或个人对空调设备进行保养维修及更换配件或消耗材料，成交供应商不承担由此引发的所有责任。</w:t>
      </w:r>
    </w:p>
    <w:p>
      <w:pPr>
        <w:spacing w:line="360" w:lineRule="auto"/>
        <w:ind w:firstLine="420"/>
        <w:rPr>
          <w:rFonts w:ascii="宋体" w:cs="宋体"/>
          <w:sz w:val="24"/>
          <w:szCs w:val="24"/>
        </w:rPr>
      </w:pPr>
      <w:r>
        <w:rPr>
          <w:rFonts w:ascii="宋体" w:hAnsi="宋体" w:cs="宋体"/>
          <w:sz w:val="24"/>
          <w:szCs w:val="24"/>
        </w:rPr>
        <w:t>16</w:t>
      </w:r>
      <w:r>
        <w:rPr>
          <w:rFonts w:ascii="宋体" w:cs="宋体"/>
          <w:sz w:val="24"/>
          <w:szCs w:val="24"/>
        </w:rPr>
        <w:t>.</w:t>
      </w:r>
      <w:r>
        <w:rPr>
          <w:rFonts w:hint="eastAsia" w:ascii="宋体" w:hAnsi="宋体" w:cs="宋体"/>
          <w:sz w:val="24"/>
          <w:szCs w:val="24"/>
        </w:rPr>
        <w:t>采购人需提供人员配合，为成交供应商的保养维修工作提供必要的协调和支持，提供维修保养的条件：如电、水及接驳点（接驳管线、电源拖线除外）及相关场地等。</w:t>
      </w:r>
    </w:p>
    <w:p>
      <w:pPr>
        <w:spacing w:line="360" w:lineRule="auto"/>
        <w:ind w:firstLine="420"/>
        <w:rPr>
          <w:rFonts w:ascii="宋体" w:cs="宋体"/>
          <w:sz w:val="24"/>
          <w:szCs w:val="24"/>
        </w:rPr>
      </w:pPr>
      <w:r>
        <w:rPr>
          <w:rFonts w:ascii="宋体" w:hAnsi="宋体" w:cs="宋体"/>
          <w:sz w:val="24"/>
          <w:szCs w:val="24"/>
        </w:rPr>
        <w:t>17</w:t>
      </w:r>
      <w:r>
        <w:rPr>
          <w:rFonts w:ascii="宋体" w:cs="宋体"/>
          <w:sz w:val="24"/>
          <w:szCs w:val="24"/>
        </w:rPr>
        <w:t>.</w:t>
      </w:r>
      <w:r>
        <w:rPr>
          <w:rFonts w:hint="eastAsia" w:ascii="宋体" w:hAnsi="宋体" w:cs="宋体"/>
          <w:sz w:val="24"/>
          <w:szCs w:val="24"/>
        </w:rPr>
        <w:t>成交供应商在采购人现场进行施工作业时，采购人不得强令成交供应商维保维修人员冒险或违规作业。维保维修人员到场前须通知采购人现场当班负责人同意后方可进入作业机房，成交供应商保养维修工作人员必须持证作业、每次检修不得少于两人操作、检查维修结束后要向采购人汇报作业内容及注意事项交底、离场时须征得采购人同意后方可离场。</w:t>
      </w:r>
    </w:p>
    <w:p>
      <w:pPr>
        <w:spacing w:line="360" w:lineRule="auto"/>
        <w:ind w:firstLine="420"/>
        <w:rPr>
          <w:sz w:val="24"/>
          <w:szCs w:val="24"/>
        </w:rPr>
      </w:pPr>
      <w:r>
        <w:rPr>
          <w:rFonts w:ascii="宋体" w:hAnsi="宋体" w:cs="宋体"/>
          <w:sz w:val="24"/>
          <w:szCs w:val="24"/>
        </w:rPr>
        <w:t>18</w:t>
      </w:r>
      <w:r>
        <w:rPr>
          <w:rFonts w:ascii="宋体" w:cs="宋体"/>
          <w:sz w:val="24"/>
          <w:szCs w:val="24"/>
        </w:rPr>
        <w:t>.</w:t>
      </w:r>
      <w:r>
        <w:rPr>
          <w:rFonts w:hint="eastAsia" w:ascii="宋体" w:hAnsi="宋体" w:cs="宋体"/>
          <w:sz w:val="24"/>
          <w:szCs w:val="24"/>
        </w:rPr>
        <w:t>采购人按本项目合同约定期限支付成交供应商服务款。</w:t>
      </w:r>
    </w:p>
    <w:p>
      <w:pPr>
        <w:pStyle w:val="12"/>
        <w:ind w:left="0" w:leftChars="0" w:firstLine="482" w:firstLineChars="200"/>
        <w:jc w:val="left"/>
        <w:rPr>
          <w:rFonts w:ascii="宋体" w:hAnsi="宋体" w:eastAsia="宋体" w:cs="宋体"/>
          <w:b/>
          <w:bCs/>
        </w:rPr>
      </w:pPr>
      <w:r>
        <w:rPr>
          <w:rFonts w:hint="eastAsia" w:ascii="宋体" w:hAnsi="宋体" w:eastAsia="宋体" w:cs="宋体"/>
          <w:b/>
          <w:bCs/>
        </w:rPr>
        <w:t>六、现有设备品牌及型号：</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595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Pr>
          <w:p>
            <w:pPr>
              <w:spacing w:line="360" w:lineRule="auto"/>
              <w:jc w:val="center"/>
              <w:rPr>
                <w:rFonts w:ascii="宋体" w:cs="宋体"/>
                <w:sz w:val="24"/>
                <w:szCs w:val="24"/>
              </w:rPr>
            </w:pPr>
            <w:r>
              <w:rPr>
                <w:rFonts w:hint="eastAsia" w:ascii="宋体" w:hAnsi="宋体" w:cs="宋体"/>
                <w:sz w:val="24"/>
                <w:szCs w:val="24"/>
              </w:rPr>
              <w:t>序号</w:t>
            </w:r>
          </w:p>
        </w:tc>
        <w:tc>
          <w:tcPr>
            <w:tcW w:w="5954" w:type="dxa"/>
          </w:tcPr>
          <w:p>
            <w:pPr>
              <w:spacing w:line="360" w:lineRule="auto"/>
              <w:ind w:firstLine="420"/>
              <w:jc w:val="center"/>
              <w:rPr>
                <w:rFonts w:ascii="宋体" w:cs="宋体"/>
                <w:sz w:val="24"/>
                <w:szCs w:val="24"/>
              </w:rPr>
            </w:pPr>
            <w:r>
              <w:rPr>
                <w:rFonts w:hint="eastAsia" w:ascii="宋体" w:hAnsi="宋体" w:cs="宋体"/>
                <w:sz w:val="24"/>
                <w:szCs w:val="24"/>
              </w:rPr>
              <w:t>设备品牌及型号</w:t>
            </w:r>
          </w:p>
        </w:tc>
        <w:tc>
          <w:tcPr>
            <w:tcW w:w="1134" w:type="dxa"/>
          </w:tcPr>
          <w:p>
            <w:pPr>
              <w:spacing w:line="360" w:lineRule="auto"/>
              <w:ind w:firstLine="420"/>
              <w:jc w:val="center"/>
              <w:rPr>
                <w:rFonts w:ascii="宋体" w:cs="宋体"/>
                <w:sz w:val="24"/>
                <w:szCs w:val="24"/>
              </w:rPr>
            </w:pPr>
            <w:r>
              <w:rPr>
                <w:rFonts w:hint="eastAsia" w:ascii="宋体" w:hAnsi="宋体" w:cs="宋体"/>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Pr>
          <w:p>
            <w:pPr>
              <w:spacing w:line="360" w:lineRule="auto"/>
              <w:jc w:val="center"/>
              <w:rPr>
                <w:rFonts w:ascii="宋体" w:cs="宋体"/>
                <w:sz w:val="24"/>
                <w:szCs w:val="24"/>
              </w:rPr>
            </w:pPr>
            <w:r>
              <w:rPr>
                <w:rFonts w:ascii="宋体" w:hAnsi="宋体" w:cs="宋体"/>
                <w:sz w:val="24"/>
                <w:szCs w:val="24"/>
              </w:rPr>
              <w:t>1</w:t>
            </w:r>
          </w:p>
        </w:tc>
        <w:tc>
          <w:tcPr>
            <w:tcW w:w="5954" w:type="dxa"/>
          </w:tcPr>
          <w:p>
            <w:pPr>
              <w:spacing w:line="360" w:lineRule="auto"/>
              <w:ind w:firstLine="420"/>
              <w:jc w:val="center"/>
              <w:rPr>
                <w:rFonts w:ascii="宋体" w:cs="宋体"/>
                <w:sz w:val="24"/>
                <w:szCs w:val="24"/>
              </w:rPr>
            </w:pPr>
            <w:r>
              <w:rPr>
                <w:rFonts w:hint="eastAsia" w:ascii="宋体" w:hAnsi="宋体" w:cs="宋体"/>
                <w:sz w:val="24"/>
                <w:szCs w:val="24"/>
              </w:rPr>
              <w:t>特灵机组（冰冷螺杆式冷水机组）</w:t>
            </w:r>
            <w:r>
              <w:rPr>
                <w:rFonts w:ascii="宋体" w:hAnsi="宋体" w:cs="宋体"/>
                <w:sz w:val="24"/>
                <w:szCs w:val="24"/>
              </w:rPr>
              <w:t>RTHDDIDIEI</w:t>
            </w:r>
          </w:p>
        </w:tc>
        <w:tc>
          <w:tcPr>
            <w:tcW w:w="1134" w:type="dxa"/>
          </w:tcPr>
          <w:p>
            <w:pPr>
              <w:spacing w:line="360" w:lineRule="auto"/>
              <w:jc w:val="center"/>
              <w:rPr>
                <w:rFonts w:ascii="宋体" w:cs="宋体"/>
                <w:sz w:val="24"/>
                <w:szCs w:val="24"/>
              </w:rPr>
            </w:pPr>
            <w:r>
              <w:rPr>
                <w:rFonts w:ascii="宋体" w:hAnsi="宋体" w:cs="宋体"/>
                <w:sz w:val="24"/>
                <w:szCs w:val="24"/>
              </w:rPr>
              <w:t>3</w:t>
            </w:r>
            <w:r>
              <w:rPr>
                <w:rFonts w:hint="eastAsia" w:ascii="宋体" w:hAnsi="宋体" w:cs="宋体"/>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Pr>
          <w:p>
            <w:pPr>
              <w:spacing w:line="360" w:lineRule="auto"/>
              <w:jc w:val="center"/>
              <w:rPr>
                <w:rFonts w:ascii="宋体" w:cs="宋体"/>
                <w:sz w:val="24"/>
                <w:szCs w:val="24"/>
              </w:rPr>
            </w:pPr>
            <w:r>
              <w:rPr>
                <w:rFonts w:ascii="宋体" w:hAnsi="宋体" w:cs="宋体"/>
                <w:sz w:val="24"/>
                <w:szCs w:val="24"/>
              </w:rPr>
              <w:t>2</w:t>
            </w:r>
          </w:p>
        </w:tc>
        <w:tc>
          <w:tcPr>
            <w:tcW w:w="5954" w:type="dxa"/>
          </w:tcPr>
          <w:p>
            <w:pPr>
              <w:spacing w:line="360" w:lineRule="auto"/>
              <w:ind w:firstLine="420"/>
              <w:jc w:val="center"/>
              <w:rPr>
                <w:rFonts w:ascii="宋体" w:cs="宋体"/>
                <w:sz w:val="24"/>
                <w:szCs w:val="24"/>
              </w:rPr>
            </w:pPr>
            <w:r>
              <w:rPr>
                <w:rFonts w:hint="eastAsia" w:ascii="宋体" w:hAnsi="宋体" w:cs="宋体"/>
                <w:sz w:val="24"/>
                <w:szCs w:val="24"/>
              </w:rPr>
              <w:t>冷冻水泵（</w:t>
            </w:r>
            <w:r>
              <w:rPr>
                <w:rFonts w:ascii="宋体" w:hAnsi="宋体" w:cs="宋体"/>
                <w:sz w:val="24"/>
                <w:szCs w:val="24"/>
              </w:rPr>
              <w:t>YE2-180L-4B35)</w:t>
            </w:r>
          </w:p>
        </w:tc>
        <w:tc>
          <w:tcPr>
            <w:tcW w:w="1134" w:type="dxa"/>
          </w:tcPr>
          <w:p>
            <w:pPr>
              <w:spacing w:line="360" w:lineRule="auto"/>
              <w:jc w:val="center"/>
              <w:rPr>
                <w:rFonts w:ascii="宋体" w:cs="宋体"/>
                <w:sz w:val="24"/>
                <w:szCs w:val="24"/>
              </w:rPr>
            </w:pPr>
            <w:r>
              <w:rPr>
                <w:rFonts w:ascii="宋体" w:hAnsi="宋体" w:cs="宋体"/>
                <w:sz w:val="24"/>
                <w:szCs w:val="24"/>
              </w:rPr>
              <w:t>4</w:t>
            </w:r>
            <w:r>
              <w:rPr>
                <w:rFonts w:hint="eastAsia" w:ascii="宋体" w:hAnsi="宋体" w:cs="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Pr>
          <w:p>
            <w:pPr>
              <w:spacing w:line="360" w:lineRule="auto"/>
              <w:jc w:val="center"/>
              <w:rPr>
                <w:rFonts w:ascii="宋体" w:cs="宋体"/>
                <w:sz w:val="24"/>
                <w:szCs w:val="24"/>
              </w:rPr>
            </w:pPr>
            <w:r>
              <w:rPr>
                <w:rFonts w:ascii="宋体" w:hAnsi="宋体" w:cs="宋体"/>
                <w:sz w:val="24"/>
                <w:szCs w:val="24"/>
              </w:rPr>
              <w:t>3</w:t>
            </w:r>
          </w:p>
        </w:tc>
        <w:tc>
          <w:tcPr>
            <w:tcW w:w="5954" w:type="dxa"/>
          </w:tcPr>
          <w:p>
            <w:pPr>
              <w:spacing w:line="360" w:lineRule="auto"/>
              <w:ind w:firstLine="420"/>
              <w:jc w:val="center"/>
              <w:rPr>
                <w:rFonts w:ascii="宋体" w:cs="宋体"/>
                <w:sz w:val="24"/>
                <w:szCs w:val="24"/>
              </w:rPr>
            </w:pPr>
            <w:r>
              <w:rPr>
                <w:rFonts w:hint="eastAsia" w:ascii="宋体" w:hAnsi="宋体" w:cs="宋体"/>
                <w:sz w:val="24"/>
                <w:szCs w:val="24"/>
              </w:rPr>
              <w:t>冷却水泵（</w:t>
            </w:r>
            <w:r>
              <w:rPr>
                <w:rFonts w:ascii="宋体" w:hAnsi="宋体" w:cs="宋体"/>
                <w:sz w:val="24"/>
                <w:szCs w:val="24"/>
              </w:rPr>
              <w:t>YE2-180L-4B35)</w:t>
            </w:r>
          </w:p>
        </w:tc>
        <w:tc>
          <w:tcPr>
            <w:tcW w:w="1134" w:type="dxa"/>
          </w:tcPr>
          <w:p>
            <w:pPr>
              <w:spacing w:line="360" w:lineRule="auto"/>
              <w:jc w:val="center"/>
              <w:rPr>
                <w:rFonts w:ascii="宋体" w:cs="宋体"/>
                <w:sz w:val="24"/>
                <w:szCs w:val="24"/>
              </w:rPr>
            </w:pPr>
            <w:r>
              <w:rPr>
                <w:rFonts w:ascii="宋体" w:hAnsi="宋体" w:cs="宋体"/>
                <w:sz w:val="24"/>
                <w:szCs w:val="24"/>
              </w:rPr>
              <w:t>4</w:t>
            </w:r>
            <w:r>
              <w:rPr>
                <w:rFonts w:hint="eastAsia" w:ascii="宋体" w:hAnsi="宋体" w:cs="宋体"/>
                <w:sz w:val="24"/>
                <w:szCs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Pr>
          <w:p>
            <w:pPr>
              <w:spacing w:line="360" w:lineRule="auto"/>
              <w:jc w:val="center"/>
              <w:rPr>
                <w:rFonts w:ascii="宋体" w:cs="宋体"/>
                <w:sz w:val="24"/>
                <w:szCs w:val="24"/>
              </w:rPr>
            </w:pPr>
            <w:r>
              <w:rPr>
                <w:rFonts w:ascii="宋体" w:hAnsi="宋体" w:cs="宋体"/>
                <w:sz w:val="24"/>
                <w:szCs w:val="24"/>
              </w:rPr>
              <w:t>4</w:t>
            </w:r>
          </w:p>
        </w:tc>
        <w:tc>
          <w:tcPr>
            <w:tcW w:w="5954" w:type="dxa"/>
          </w:tcPr>
          <w:p>
            <w:pPr>
              <w:spacing w:line="360" w:lineRule="auto"/>
              <w:ind w:firstLine="420"/>
              <w:jc w:val="center"/>
              <w:rPr>
                <w:rFonts w:ascii="宋体" w:cs="宋体"/>
                <w:sz w:val="24"/>
                <w:szCs w:val="24"/>
              </w:rPr>
            </w:pPr>
            <w:r>
              <w:rPr>
                <w:rFonts w:hint="eastAsia" w:ascii="宋体" w:hAnsi="宋体" w:cs="宋体"/>
                <w:sz w:val="24"/>
                <w:szCs w:val="24"/>
              </w:rPr>
              <w:t>冷却塔减速箱</w:t>
            </w:r>
          </w:p>
        </w:tc>
        <w:tc>
          <w:tcPr>
            <w:tcW w:w="1134" w:type="dxa"/>
          </w:tcPr>
          <w:p>
            <w:pPr>
              <w:spacing w:line="360" w:lineRule="auto"/>
              <w:jc w:val="center"/>
              <w:rPr>
                <w:rFonts w:ascii="宋体" w:cs="宋体"/>
                <w:sz w:val="24"/>
                <w:szCs w:val="24"/>
              </w:rPr>
            </w:pPr>
            <w:r>
              <w:rPr>
                <w:rFonts w:ascii="宋体" w:hAnsi="宋体" w:cs="宋体"/>
                <w:sz w:val="24"/>
                <w:szCs w:val="24"/>
              </w:rPr>
              <w:t>3</w:t>
            </w:r>
            <w:r>
              <w:rPr>
                <w:rFonts w:hint="eastAsia" w:ascii="宋体" w:hAnsi="宋体" w:cs="宋体"/>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Pr>
          <w:p>
            <w:pPr>
              <w:spacing w:line="360" w:lineRule="auto"/>
              <w:jc w:val="center"/>
              <w:rPr>
                <w:rFonts w:ascii="宋体" w:cs="宋体"/>
                <w:sz w:val="24"/>
                <w:szCs w:val="24"/>
              </w:rPr>
            </w:pPr>
            <w:r>
              <w:rPr>
                <w:rFonts w:ascii="宋体" w:hAnsi="宋体" w:cs="宋体"/>
                <w:sz w:val="24"/>
                <w:szCs w:val="24"/>
              </w:rPr>
              <w:t>5</w:t>
            </w:r>
          </w:p>
        </w:tc>
        <w:tc>
          <w:tcPr>
            <w:tcW w:w="5954" w:type="dxa"/>
          </w:tcPr>
          <w:p>
            <w:pPr>
              <w:spacing w:line="360" w:lineRule="auto"/>
              <w:ind w:firstLine="420"/>
              <w:jc w:val="center"/>
              <w:rPr>
                <w:rFonts w:ascii="宋体" w:cs="宋体"/>
                <w:sz w:val="24"/>
                <w:szCs w:val="24"/>
              </w:rPr>
            </w:pPr>
            <w:r>
              <w:rPr>
                <w:rFonts w:hint="eastAsia" w:ascii="宋体" w:hAnsi="宋体" w:cs="宋体"/>
                <w:sz w:val="24"/>
                <w:szCs w:val="24"/>
              </w:rPr>
              <w:t>冷却水塔（</w:t>
            </w:r>
            <w:r>
              <w:rPr>
                <w:rFonts w:ascii="宋体" w:hAnsi="宋体" w:cs="宋体"/>
                <w:sz w:val="24"/>
                <w:szCs w:val="24"/>
              </w:rPr>
              <w:t>MK-15002AIUL-3)</w:t>
            </w:r>
          </w:p>
        </w:tc>
        <w:tc>
          <w:tcPr>
            <w:tcW w:w="1134" w:type="dxa"/>
          </w:tcPr>
          <w:p>
            <w:pPr>
              <w:spacing w:line="360" w:lineRule="auto"/>
              <w:jc w:val="center"/>
              <w:rPr>
                <w:rFonts w:ascii="宋体" w:cs="宋体"/>
                <w:sz w:val="24"/>
                <w:szCs w:val="24"/>
              </w:rPr>
            </w:pPr>
            <w:r>
              <w:rPr>
                <w:rFonts w:ascii="宋体" w:hAnsi="宋体" w:cs="宋体"/>
                <w:sz w:val="24"/>
                <w:szCs w:val="24"/>
              </w:rPr>
              <w:t>1</w:t>
            </w:r>
            <w:r>
              <w:rPr>
                <w:rFonts w:hint="eastAsia" w:ascii="宋体" w:hAnsi="宋体" w:cs="宋体"/>
                <w:sz w:val="24"/>
                <w:szCs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tcPr>
          <w:p>
            <w:pPr>
              <w:spacing w:line="360" w:lineRule="auto"/>
              <w:jc w:val="center"/>
              <w:rPr>
                <w:rFonts w:ascii="宋体" w:cs="宋体"/>
                <w:sz w:val="24"/>
                <w:szCs w:val="24"/>
              </w:rPr>
            </w:pPr>
            <w:r>
              <w:rPr>
                <w:rFonts w:ascii="宋体" w:hAnsi="宋体" w:cs="宋体"/>
                <w:sz w:val="24"/>
                <w:szCs w:val="24"/>
              </w:rPr>
              <w:t>6</w:t>
            </w:r>
          </w:p>
        </w:tc>
        <w:tc>
          <w:tcPr>
            <w:tcW w:w="5954" w:type="dxa"/>
          </w:tcPr>
          <w:p>
            <w:pPr>
              <w:spacing w:line="360" w:lineRule="auto"/>
              <w:ind w:firstLine="420"/>
              <w:jc w:val="center"/>
              <w:rPr>
                <w:rFonts w:ascii="宋体" w:cs="宋体"/>
                <w:sz w:val="24"/>
                <w:szCs w:val="24"/>
              </w:rPr>
            </w:pPr>
            <w:r>
              <w:rPr>
                <w:rFonts w:hint="eastAsia" w:ascii="宋体" w:hAnsi="宋体" w:cs="宋体"/>
                <w:sz w:val="24"/>
                <w:szCs w:val="24"/>
              </w:rPr>
              <w:t>风柜（品牌：广州捷达莱堡）</w:t>
            </w:r>
            <w:r>
              <w:rPr>
                <w:rFonts w:ascii="宋体" w:hAnsi="宋体" w:cs="宋体"/>
                <w:sz w:val="24"/>
                <w:szCs w:val="24"/>
              </w:rPr>
              <w:t>5WH-100-4R</w:t>
            </w:r>
          </w:p>
        </w:tc>
        <w:tc>
          <w:tcPr>
            <w:tcW w:w="1134" w:type="dxa"/>
          </w:tcPr>
          <w:p>
            <w:pPr>
              <w:spacing w:line="360" w:lineRule="auto"/>
              <w:jc w:val="center"/>
              <w:rPr>
                <w:rFonts w:ascii="宋体" w:cs="宋体"/>
                <w:sz w:val="24"/>
                <w:szCs w:val="24"/>
              </w:rPr>
            </w:pPr>
            <w:r>
              <w:rPr>
                <w:rFonts w:ascii="宋体" w:hAnsi="宋体" w:cs="宋体"/>
                <w:sz w:val="24"/>
                <w:szCs w:val="24"/>
              </w:rPr>
              <w:t>32</w:t>
            </w:r>
            <w:r>
              <w:rPr>
                <w:rFonts w:hint="eastAsia" w:ascii="宋体" w:hAnsi="宋体" w:cs="宋体"/>
                <w:sz w:val="24"/>
                <w:szCs w:val="24"/>
              </w:rPr>
              <w:t>套</w:t>
            </w:r>
          </w:p>
        </w:tc>
      </w:tr>
    </w:tbl>
    <w:p>
      <w:pPr>
        <w:pStyle w:val="12"/>
        <w:ind w:left="0" w:leftChars="0" w:firstLine="0" w:firstLineChars="0"/>
        <w:rPr>
          <w:rFonts w:ascii="宋体" w:hAnsi="宋体" w:eastAsia="宋体" w:cs="宋体"/>
          <w:b/>
          <w:bCs/>
        </w:rPr>
      </w:pPr>
      <w:r>
        <w:rPr>
          <w:rFonts w:ascii="宋体" w:hAnsi="宋体" w:eastAsia="宋体" w:cs="宋体"/>
          <w:b/>
          <w:bCs/>
        </w:rPr>
        <w:t xml:space="preserve">   </w:t>
      </w:r>
      <w:r>
        <w:rPr>
          <w:rFonts w:hint="eastAsia" w:ascii="宋体" w:hAnsi="宋体" w:eastAsia="宋体" w:cs="宋体"/>
          <w:b/>
          <w:bCs/>
        </w:rPr>
        <w:t>七、定标原则</w:t>
      </w:r>
    </w:p>
    <w:p>
      <w:pPr>
        <w:pStyle w:val="12"/>
        <w:ind w:left="0" w:leftChars="0" w:firstLine="480" w:firstLineChars="200"/>
        <w:jc w:val="left"/>
        <w:rPr>
          <w:rFonts w:ascii="宋体" w:hAnsi="宋体" w:eastAsia="宋体" w:cs="宋体"/>
          <w:bCs/>
        </w:rPr>
      </w:pPr>
      <w:r>
        <w:rPr>
          <w:rFonts w:hint="eastAsia" w:ascii="宋体" w:hAnsi="宋体" w:eastAsia="宋体" w:cs="宋体"/>
          <w:bCs/>
        </w:rPr>
        <w:t>由采购人组织评审小组根据各报价人提交的业绩、信用状况、企业资质、投入人员资质、报价进行综合评审，以择优的方式选取成交供应商。</w:t>
      </w:r>
    </w:p>
    <w:p>
      <w:pPr>
        <w:pStyle w:val="12"/>
        <w:ind w:left="0" w:leftChars="0" w:firstLine="482" w:firstLineChars="200"/>
        <w:jc w:val="left"/>
        <w:rPr>
          <w:rFonts w:ascii="宋体" w:hAnsi="宋体" w:eastAsia="宋体" w:cs="宋体"/>
          <w:b/>
          <w:bCs/>
        </w:rPr>
      </w:pPr>
      <w:r>
        <w:rPr>
          <w:rFonts w:hint="eastAsia" w:ascii="宋体" w:hAnsi="宋体" w:eastAsia="宋体" w:cs="宋体"/>
          <w:b/>
          <w:bCs/>
        </w:rPr>
        <w:t>八、报价文件提交资料要求：</w:t>
      </w:r>
    </w:p>
    <w:p>
      <w:pPr>
        <w:pStyle w:val="12"/>
        <w:ind w:left="0" w:leftChars="0" w:firstLine="0" w:firstLineChars="0"/>
        <w:jc w:val="left"/>
        <w:rPr>
          <w:rFonts w:ascii="宋体" w:hAnsi="宋体" w:eastAsia="宋体" w:cs="宋体"/>
          <w:bCs/>
        </w:rPr>
      </w:pPr>
      <w:r>
        <w:rPr>
          <w:rFonts w:ascii="宋体" w:hAnsi="宋体" w:eastAsia="宋体" w:cs="宋体"/>
          <w:bCs/>
        </w:rPr>
        <w:t>1.</w:t>
      </w:r>
      <w:r>
        <w:rPr>
          <w:rFonts w:hint="eastAsia" w:ascii="宋体" w:hAnsi="宋体" w:eastAsia="宋体" w:cs="宋体"/>
          <w:bCs/>
        </w:rPr>
        <w:t>营业执照（必要）</w:t>
      </w:r>
    </w:p>
    <w:p>
      <w:pPr>
        <w:pStyle w:val="12"/>
        <w:ind w:left="0" w:leftChars="0" w:firstLine="0" w:firstLineChars="0"/>
        <w:jc w:val="left"/>
        <w:rPr>
          <w:rFonts w:ascii="宋体" w:hAnsi="宋体" w:eastAsia="宋体" w:cs="宋体"/>
          <w:bCs/>
        </w:rPr>
      </w:pPr>
      <w:r>
        <w:rPr>
          <w:rFonts w:ascii="宋体" w:hAnsi="宋体" w:eastAsia="宋体" w:cs="宋体"/>
          <w:bCs/>
        </w:rPr>
        <w:t>2.</w:t>
      </w:r>
      <w:r>
        <w:rPr>
          <w:rFonts w:hint="eastAsia" w:ascii="宋体" w:hAnsi="宋体" w:eastAsia="宋体" w:cs="宋体"/>
          <w:bCs/>
        </w:rPr>
        <w:t>法定代表人身份证（必要）</w:t>
      </w:r>
    </w:p>
    <w:p>
      <w:pPr>
        <w:pStyle w:val="12"/>
        <w:ind w:left="0" w:leftChars="0" w:firstLine="0" w:firstLineChars="0"/>
        <w:jc w:val="left"/>
        <w:rPr>
          <w:rFonts w:ascii="宋体" w:hAnsi="宋体" w:eastAsia="宋体" w:cs="宋体"/>
          <w:bCs/>
        </w:rPr>
      </w:pPr>
      <w:r>
        <w:rPr>
          <w:rFonts w:ascii="宋体" w:hAnsi="宋体" w:eastAsia="宋体" w:cs="宋体"/>
          <w:bCs/>
        </w:rPr>
        <w:t>3.</w:t>
      </w:r>
      <w:r>
        <w:rPr>
          <w:rFonts w:hint="eastAsia" w:ascii="宋体" w:hAnsi="宋体" w:eastAsia="宋体" w:cs="宋体"/>
          <w:bCs/>
        </w:rPr>
        <w:t>授权代表身份证（如由法定代表人亲自递交的无须提供）</w:t>
      </w:r>
    </w:p>
    <w:p>
      <w:pPr>
        <w:pStyle w:val="12"/>
        <w:ind w:left="0" w:leftChars="0" w:firstLine="0" w:firstLineChars="0"/>
        <w:jc w:val="left"/>
        <w:rPr>
          <w:rFonts w:ascii="宋体" w:hAnsi="宋体" w:eastAsia="宋体" w:cs="宋体"/>
          <w:bCs/>
        </w:rPr>
      </w:pPr>
      <w:r>
        <w:rPr>
          <w:rFonts w:ascii="宋体" w:hAnsi="宋体" w:eastAsia="宋体" w:cs="宋体"/>
          <w:bCs/>
        </w:rPr>
        <w:t>4.</w:t>
      </w:r>
      <w:r>
        <w:rPr>
          <w:rFonts w:hint="eastAsia" w:ascii="宋体" w:hAnsi="宋体" w:eastAsia="宋体" w:cs="宋体"/>
          <w:bCs/>
        </w:rPr>
        <w:t>报价表（必要）</w:t>
      </w:r>
    </w:p>
    <w:p>
      <w:pPr>
        <w:pStyle w:val="12"/>
        <w:ind w:left="0" w:leftChars="0" w:firstLine="0" w:firstLineChars="0"/>
        <w:jc w:val="left"/>
        <w:rPr>
          <w:rFonts w:ascii="宋体" w:hAnsi="宋体" w:eastAsia="宋体" w:cs="宋体"/>
          <w:bCs/>
        </w:rPr>
      </w:pPr>
      <w:r>
        <w:rPr>
          <w:rFonts w:ascii="宋体" w:hAnsi="宋体" w:eastAsia="宋体" w:cs="宋体"/>
          <w:bCs/>
        </w:rPr>
        <w:t>5.</w:t>
      </w:r>
      <w:r>
        <w:rPr>
          <w:rFonts w:hint="eastAsia" w:ascii="宋体" w:hAnsi="宋体" w:eastAsia="宋体" w:cs="宋体"/>
          <w:bCs/>
        </w:rPr>
        <w:t>项目负责人资质（如有）</w:t>
      </w:r>
    </w:p>
    <w:p>
      <w:pPr>
        <w:pStyle w:val="12"/>
        <w:ind w:left="0" w:leftChars="0" w:firstLine="0" w:firstLineChars="0"/>
        <w:jc w:val="left"/>
        <w:rPr>
          <w:rFonts w:ascii="宋体" w:hAnsi="宋体" w:eastAsia="宋体" w:cs="宋体"/>
          <w:bCs/>
        </w:rPr>
      </w:pPr>
      <w:r>
        <w:rPr>
          <w:rFonts w:ascii="宋体" w:hAnsi="宋体" w:eastAsia="宋体" w:cs="宋体"/>
          <w:bCs/>
        </w:rPr>
        <w:t>6.</w:t>
      </w:r>
      <w:r>
        <w:rPr>
          <w:rFonts w:hint="eastAsia" w:ascii="宋体" w:hAnsi="宋体" w:eastAsia="宋体" w:cs="宋体"/>
          <w:bCs/>
        </w:rPr>
        <w:t>同类项目业绩（如有）</w:t>
      </w:r>
    </w:p>
    <w:p>
      <w:pPr>
        <w:pStyle w:val="12"/>
        <w:ind w:left="0" w:leftChars="0" w:firstLine="0" w:firstLineChars="0"/>
        <w:jc w:val="left"/>
        <w:rPr>
          <w:rFonts w:ascii="宋体" w:hAnsi="宋体" w:eastAsia="宋体" w:cs="宋体"/>
          <w:bCs/>
        </w:rPr>
      </w:pPr>
      <w:r>
        <w:rPr>
          <w:rFonts w:ascii="宋体" w:hAnsi="宋体" w:eastAsia="宋体" w:cs="宋体"/>
          <w:bCs/>
        </w:rPr>
        <w:t>7.</w:t>
      </w:r>
      <w:r>
        <w:rPr>
          <w:rFonts w:hint="eastAsia" w:ascii="宋体" w:hAnsi="宋体" w:eastAsia="宋体" w:cs="宋体"/>
          <w:bCs/>
        </w:rPr>
        <w:t>投入人员资质（如有）</w:t>
      </w:r>
    </w:p>
    <w:p>
      <w:pPr>
        <w:pStyle w:val="12"/>
        <w:ind w:left="0" w:leftChars="0" w:firstLine="0" w:firstLineChars="0"/>
        <w:jc w:val="left"/>
        <w:rPr>
          <w:rFonts w:ascii="宋体" w:hAnsi="宋体" w:eastAsia="宋体" w:cs="宋体"/>
          <w:bCs/>
        </w:rPr>
      </w:pPr>
      <w:r>
        <w:rPr>
          <w:rFonts w:ascii="宋体" w:hAnsi="宋体" w:eastAsia="宋体" w:cs="宋体"/>
          <w:bCs/>
        </w:rPr>
        <w:t>8.</w:t>
      </w:r>
      <w:r>
        <w:rPr>
          <w:rFonts w:hint="eastAsia" w:ascii="宋体" w:hAnsi="宋体" w:eastAsia="宋体" w:cs="宋体"/>
          <w:bCs/>
        </w:rPr>
        <w:t>企业信用状况、证书（如有）</w:t>
      </w:r>
    </w:p>
    <w:p>
      <w:pPr>
        <w:pStyle w:val="12"/>
        <w:ind w:left="0" w:leftChars="0" w:right="241" w:firstLine="0" w:firstLineChars="0"/>
        <w:jc w:val="right"/>
        <w:rPr>
          <w:rFonts w:ascii="宋体" w:hAnsi="宋体" w:eastAsia="宋体" w:cs="宋体"/>
          <w:b/>
          <w:bCs/>
        </w:rPr>
      </w:pPr>
      <w:bookmarkStart w:id="0" w:name="_GoBack"/>
      <w:bookmarkEnd w:id="0"/>
    </w:p>
    <w:p>
      <w:pPr>
        <w:pStyle w:val="12"/>
        <w:ind w:left="0" w:leftChars="0" w:right="241" w:firstLine="0" w:firstLineChars="0"/>
        <w:jc w:val="right"/>
        <w:rPr>
          <w:rFonts w:ascii="宋体" w:hAnsi="宋体" w:eastAsia="宋体" w:cs="宋体"/>
          <w:b/>
          <w:bCs/>
        </w:rPr>
      </w:pPr>
    </w:p>
    <w:p>
      <w:pPr>
        <w:pStyle w:val="12"/>
        <w:ind w:left="0" w:leftChars="0" w:right="241" w:firstLine="0" w:firstLineChars="0"/>
        <w:jc w:val="right"/>
        <w:rPr>
          <w:rFonts w:ascii="宋体" w:hAnsi="宋体" w:eastAsia="宋体" w:cs="宋体"/>
          <w:b/>
          <w:bCs/>
        </w:rPr>
      </w:pPr>
      <w:r>
        <w:rPr>
          <w:rFonts w:hint="eastAsia" w:ascii="宋体" w:hAnsi="宋体" w:eastAsia="宋体" w:cs="宋体"/>
          <w:b/>
          <w:bCs/>
        </w:rPr>
        <w:t>广东金融学院</w:t>
      </w:r>
    </w:p>
    <w:p>
      <w:pPr>
        <w:pStyle w:val="12"/>
        <w:ind w:left="0" w:leftChars="0" w:firstLine="0" w:firstLineChars="0"/>
        <w:jc w:val="right"/>
        <w:rPr>
          <w:rFonts w:ascii="宋体" w:hAnsi="宋体" w:eastAsia="宋体" w:cs="宋体"/>
          <w:b/>
          <w:bCs/>
          <w:sz w:val="21"/>
          <w:szCs w:val="20"/>
        </w:rPr>
      </w:pPr>
      <w:r>
        <w:rPr>
          <w:rFonts w:ascii="宋体" w:hAnsi="宋体" w:eastAsia="宋体" w:cs="宋体"/>
          <w:b/>
          <w:bCs/>
        </w:rPr>
        <w:t>2024</w:t>
      </w:r>
      <w:r>
        <w:rPr>
          <w:rFonts w:hint="eastAsia" w:ascii="宋体" w:hAnsi="宋体" w:eastAsia="宋体" w:cs="宋体"/>
          <w:b/>
          <w:bCs/>
        </w:rPr>
        <w:t>年</w:t>
      </w:r>
      <w:r>
        <w:rPr>
          <w:rFonts w:ascii="宋体" w:hAnsi="宋体" w:eastAsia="宋体" w:cs="宋体"/>
          <w:b/>
          <w:bCs/>
        </w:rPr>
        <w:t xml:space="preserve"> 4 </w:t>
      </w:r>
      <w:r>
        <w:rPr>
          <w:rFonts w:hint="eastAsia" w:ascii="宋体" w:hAnsi="宋体" w:eastAsia="宋体" w:cs="宋体"/>
          <w:b/>
          <w:bCs/>
        </w:rPr>
        <w:t>月</w:t>
      </w:r>
      <w:r>
        <w:rPr>
          <w:rFonts w:ascii="宋体" w:hAnsi="宋体" w:eastAsia="宋体" w:cs="宋体"/>
          <w:b/>
          <w:bCs/>
        </w:rPr>
        <w:t xml:space="preserve"> 1</w:t>
      </w:r>
      <w:r>
        <w:rPr>
          <w:rFonts w:hint="eastAsia" w:ascii="宋体" w:hAnsi="宋体" w:eastAsia="宋体" w:cs="宋体"/>
          <w:b/>
          <w:bCs/>
          <w:lang w:val="en-US" w:eastAsia="zh-CN"/>
        </w:rPr>
        <w:t xml:space="preserve">6 </w:t>
      </w:r>
      <w:r>
        <w:rPr>
          <w:rFonts w:hint="eastAsia" w:ascii="宋体" w:hAnsi="宋体" w:eastAsia="宋体" w:cs="宋体"/>
          <w:b/>
          <w:bCs/>
        </w:rPr>
        <w:t>日</w:t>
      </w:r>
    </w:p>
    <w:p>
      <w:pPr>
        <w:jc w:val="right"/>
        <w:rPr>
          <w:rFonts w:cs="Times New Roman"/>
        </w:rPr>
      </w:pPr>
    </w:p>
    <w:p>
      <w:pPr>
        <w:jc w:val="right"/>
        <w:rPr>
          <w:rFonts w:cs="Times New Roman"/>
        </w:rPr>
      </w:pPr>
    </w:p>
    <w:p>
      <w:pPr>
        <w:pStyle w:val="3"/>
        <w:rPr>
          <w:rFonts w:ascii="Calibri" w:hAnsi="Calibri" w:cs="Times New Roman"/>
          <w:b w:val="0"/>
          <w:bCs w:val="0"/>
          <w:sz w:val="21"/>
          <w:szCs w:val="21"/>
        </w:rPr>
      </w:pPr>
    </w:p>
    <w:p>
      <w:pPr>
        <w:pStyle w:val="3"/>
      </w:pPr>
    </w:p>
    <w:p>
      <w:pPr>
        <w:pStyle w:val="3"/>
      </w:pPr>
    </w:p>
    <w:p>
      <w:pPr>
        <w:pStyle w:val="3"/>
        <w:rPr>
          <w:rFonts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WQ3NzhlN2FkZjhjYjUyOTUwYmNiZmZjYTlhNzBkYjkifQ=="/>
  </w:docVars>
  <w:rsids>
    <w:rsidRoot w:val="009148FE"/>
    <w:rsid w:val="000022AF"/>
    <w:rsid w:val="00025DFF"/>
    <w:rsid w:val="0002791E"/>
    <w:rsid w:val="0006712A"/>
    <w:rsid w:val="000712B5"/>
    <w:rsid w:val="00084AA6"/>
    <w:rsid w:val="000B0578"/>
    <w:rsid w:val="000E4160"/>
    <w:rsid w:val="000F2F75"/>
    <w:rsid w:val="00104415"/>
    <w:rsid w:val="00124D92"/>
    <w:rsid w:val="001324F7"/>
    <w:rsid w:val="001351C6"/>
    <w:rsid w:val="0018184F"/>
    <w:rsid w:val="0018279B"/>
    <w:rsid w:val="001831CF"/>
    <w:rsid w:val="00184BE5"/>
    <w:rsid w:val="001A351D"/>
    <w:rsid w:val="001D0EFE"/>
    <w:rsid w:val="0022507C"/>
    <w:rsid w:val="00232E43"/>
    <w:rsid w:val="0024202D"/>
    <w:rsid w:val="00275520"/>
    <w:rsid w:val="002878EE"/>
    <w:rsid w:val="002C603B"/>
    <w:rsid w:val="002F0A9A"/>
    <w:rsid w:val="0035773C"/>
    <w:rsid w:val="003A5AD3"/>
    <w:rsid w:val="003C77D9"/>
    <w:rsid w:val="0040232B"/>
    <w:rsid w:val="004276B8"/>
    <w:rsid w:val="0043304E"/>
    <w:rsid w:val="00436747"/>
    <w:rsid w:val="00441836"/>
    <w:rsid w:val="0047755E"/>
    <w:rsid w:val="004C7EEF"/>
    <w:rsid w:val="004E26C1"/>
    <w:rsid w:val="004E42EF"/>
    <w:rsid w:val="00502071"/>
    <w:rsid w:val="00527E7E"/>
    <w:rsid w:val="00544619"/>
    <w:rsid w:val="005506C6"/>
    <w:rsid w:val="00555DA6"/>
    <w:rsid w:val="00560C40"/>
    <w:rsid w:val="0059699E"/>
    <w:rsid w:val="00596B37"/>
    <w:rsid w:val="005A24D1"/>
    <w:rsid w:val="005B6210"/>
    <w:rsid w:val="005C274B"/>
    <w:rsid w:val="005D1308"/>
    <w:rsid w:val="005F0B54"/>
    <w:rsid w:val="00605B75"/>
    <w:rsid w:val="006140B4"/>
    <w:rsid w:val="00615DCF"/>
    <w:rsid w:val="00655689"/>
    <w:rsid w:val="00681B71"/>
    <w:rsid w:val="0068771F"/>
    <w:rsid w:val="00696017"/>
    <w:rsid w:val="006A47FE"/>
    <w:rsid w:val="006B53E6"/>
    <w:rsid w:val="006E6E2B"/>
    <w:rsid w:val="006F0C78"/>
    <w:rsid w:val="006F3F3E"/>
    <w:rsid w:val="00704C44"/>
    <w:rsid w:val="00717E16"/>
    <w:rsid w:val="00744188"/>
    <w:rsid w:val="00762DE2"/>
    <w:rsid w:val="00771593"/>
    <w:rsid w:val="0077408F"/>
    <w:rsid w:val="007928EB"/>
    <w:rsid w:val="007A2CE2"/>
    <w:rsid w:val="007E1DC3"/>
    <w:rsid w:val="007E43C7"/>
    <w:rsid w:val="007E550E"/>
    <w:rsid w:val="007E5A8F"/>
    <w:rsid w:val="007E76BC"/>
    <w:rsid w:val="00822B83"/>
    <w:rsid w:val="00827F8E"/>
    <w:rsid w:val="00852A5C"/>
    <w:rsid w:val="008552E7"/>
    <w:rsid w:val="00871385"/>
    <w:rsid w:val="008779D7"/>
    <w:rsid w:val="0088479D"/>
    <w:rsid w:val="008F4FF3"/>
    <w:rsid w:val="009148FE"/>
    <w:rsid w:val="009260FD"/>
    <w:rsid w:val="009322C9"/>
    <w:rsid w:val="00966BD6"/>
    <w:rsid w:val="00966C68"/>
    <w:rsid w:val="00983601"/>
    <w:rsid w:val="009A3649"/>
    <w:rsid w:val="009A60D7"/>
    <w:rsid w:val="00A10689"/>
    <w:rsid w:val="00A33BC0"/>
    <w:rsid w:val="00A36D16"/>
    <w:rsid w:val="00A90522"/>
    <w:rsid w:val="00AC06B2"/>
    <w:rsid w:val="00B545B0"/>
    <w:rsid w:val="00B84F0E"/>
    <w:rsid w:val="00B85C86"/>
    <w:rsid w:val="00B85F1A"/>
    <w:rsid w:val="00BB5D1B"/>
    <w:rsid w:val="00BC26FD"/>
    <w:rsid w:val="00BF1AC8"/>
    <w:rsid w:val="00C356BC"/>
    <w:rsid w:val="00C95B00"/>
    <w:rsid w:val="00CD2050"/>
    <w:rsid w:val="00D179AB"/>
    <w:rsid w:val="00D22F7F"/>
    <w:rsid w:val="00D3138A"/>
    <w:rsid w:val="00DB11DC"/>
    <w:rsid w:val="00DE1221"/>
    <w:rsid w:val="00E133D1"/>
    <w:rsid w:val="00E31CAD"/>
    <w:rsid w:val="00E35594"/>
    <w:rsid w:val="00E423EE"/>
    <w:rsid w:val="00E4320E"/>
    <w:rsid w:val="00E46DB4"/>
    <w:rsid w:val="00E51B22"/>
    <w:rsid w:val="00E93027"/>
    <w:rsid w:val="00ED42C6"/>
    <w:rsid w:val="00F00F72"/>
    <w:rsid w:val="00F46CEB"/>
    <w:rsid w:val="00F616C5"/>
    <w:rsid w:val="00F62755"/>
    <w:rsid w:val="00F9639E"/>
    <w:rsid w:val="00FA153D"/>
    <w:rsid w:val="00FB5822"/>
    <w:rsid w:val="00FF325E"/>
    <w:rsid w:val="017C4AAA"/>
    <w:rsid w:val="01A7647D"/>
    <w:rsid w:val="0305345B"/>
    <w:rsid w:val="09DD70BF"/>
    <w:rsid w:val="0CD92ED2"/>
    <w:rsid w:val="0DFB6D02"/>
    <w:rsid w:val="10B84FA3"/>
    <w:rsid w:val="11205904"/>
    <w:rsid w:val="13D92255"/>
    <w:rsid w:val="13DD5D2E"/>
    <w:rsid w:val="14AD67C2"/>
    <w:rsid w:val="15CB5FDB"/>
    <w:rsid w:val="16B6444E"/>
    <w:rsid w:val="17C25C94"/>
    <w:rsid w:val="19C7261B"/>
    <w:rsid w:val="1A12131B"/>
    <w:rsid w:val="1F686DF4"/>
    <w:rsid w:val="27092C66"/>
    <w:rsid w:val="2A8A2B90"/>
    <w:rsid w:val="2CBA17E2"/>
    <w:rsid w:val="33873E50"/>
    <w:rsid w:val="3390535C"/>
    <w:rsid w:val="39F50E2C"/>
    <w:rsid w:val="3A202FE3"/>
    <w:rsid w:val="3C6C15EB"/>
    <w:rsid w:val="3F852BEE"/>
    <w:rsid w:val="427B33A6"/>
    <w:rsid w:val="43D61CCF"/>
    <w:rsid w:val="48DD6CBA"/>
    <w:rsid w:val="4A0D5D1E"/>
    <w:rsid w:val="4A2C1690"/>
    <w:rsid w:val="4AA920EC"/>
    <w:rsid w:val="4BC13264"/>
    <w:rsid w:val="4D72134E"/>
    <w:rsid w:val="4E0A55CB"/>
    <w:rsid w:val="4E137126"/>
    <w:rsid w:val="57D60FDA"/>
    <w:rsid w:val="5A2B0BCE"/>
    <w:rsid w:val="5A4E0416"/>
    <w:rsid w:val="5C2F7D76"/>
    <w:rsid w:val="5D505E46"/>
    <w:rsid w:val="65DE78AD"/>
    <w:rsid w:val="66835299"/>
    <w:rsid w:val="67A12DDF"/>
    <w:rsid w:val="6CBF5146"/>
    <w:rsid w:val="7400051E"/>
    <w:rsid w:val="745B7503"/>
    <w:rsid w:val="75AC3C3A"/>
    <w:rsid w:val="77AF05BB"/>
    <w:rsid w:val="7FBC31A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99" w:name="toc 1" w:locked="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nhideWhenUsed="0" w:uiPriority="99" w:name="annotation text"/>
    <w:lsdException w:unhideWhenUsed="0" w:uiPriority="99" w:semiHidden="0" w:name="header" w:locked="1"/>
    <w:lsdException w:unhideWhenUsed="0" w:uiPriority="99" w:semiHidden="0" w:name="footer" w:locked="1"/>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nhideWhenUsed="0" w:uiPriority="99"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nhideWhenUsed="0" w:uiPriority="99" w:semiHidden="0" w:name="Date" w:locked="1"/>
    <w:lsdException w:unhideWhenUsed="0" w:uiPriority="99"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nhideWhenUsed="0"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6"/>
    <w:qFormat/>
    <w:uiPriority w:val="99"/>
    <w:pPr>
      <w:spacing w:beforeAutospacing="1" w:afterAutospacing="1"/>
      <w:jc w:val="left"/>
      <w:outlineLvl w:val="0"/>
    </w:pPr>
    <w:rPr>
      <w:rFonts w:ascii="宋体" w:hAnsi="宋体" w:cs="宋体"/>
      <w:b/>
      <w:bCs/>
      <w:kern w:val="44"/>
      <w:sz w:val="48"/>
      <w:szCs w:val="48"/>
    </w:rPr>
  </w:style>
  <w:style w:type="character" w:default="1" w:styleId="14">
    <w:name w:val="Default Paragraph Font"/>
    <w:semiHidden/>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autoRedefine/>
    <w:semiHidden/>
    <w:uiPriority w:val="99"/>
    <w:pPr>
      <w:adjustRightInd w:val="0"/>
      <w:snapToGrid w:val="0"/>
    </w:pPr>
    <w:rPr>
      <w:rFonts w:ascii="宋体" w:hAnsi="宋体" w:cs="宋体"/>
      <w:b/>
      <w:bCs/>
      <w:sz w:val="24"/>
      <w:szCs w:val="24"/>
    </w:rPr>
  </w:style>
  <w:style w:type="paragraph" w:styleId="4">
    <w:name w:val="Body Text"/>
    <w:basedOn w:val="1"/>
    <w:link w:val="37"/>
    <w:locked/>
    <w:uiPriority w:val="99"/>
    <w:pPr>
      <w:spacing w:after="120"/>
    </w:pPr>
  </w:style>
  <w:style w:type="paragraph" w:styleId="5">
    <w:name w:val="Plain Text"/>
    <w:basedOn w:val="1"/>
    <w:link w:val="18"/>
    <w:autoRedefine/>
    <w:uiPriority w:val="99"/>
    <w:rPr>
      <w:rFonts w:ascii="宋体" w:hAnsi="Courier New" w:cs="宋体"/>
      <w:kern w:val="0"/>
      <w:sz w:val="20"/>
      <w:szCs w:val="20"/>
    </w:rPr>
  </w:style>
  <w:style w:type="paragraph" w:styleId="6">
    <w:name w:val="Date"/>
    <w:basedOn w:val="1"/>
    <w:next w:val="1"/>
    <w:link w:val="24"/>
    <w:locked/>
    <w:uiPriority w:val="99"/>
    <w:rPr>
      <w:rFonts w:ascii="幼圆" w:eastAsia="幼圆" w:cs="幼圆"/>
      <w:sz w:val="24"/>
      <w:szCs w:val="24"/>
    </w:rPr>
  </w:style>
  <w:style w:type="paragraph" w:styleId="7">
    <w:name w:val="Balloon Text"/>
    <w:basedOn w:val="1"/>
    <w:link w:val="21"/>
    <w:semiHidden/>
    <w:locked/>
    <w:uiPriority w:val="99"/>
    <w:rPr>
      <w:rFonts w:ascii="Times New Roman" w:hAnsi="Times New Roman" w:cs="Times New Roman"/>
      <w:sz w:val="18"/>
      <w:szCs w:val="18"/>
    </w:rPr>
  </w:style>
  <w:style w:type="paragraph" w:styleId="8">
    <w:name w:val="footer"/>
    <w:basedOn w:val="1"/>
    <w:link w:val="20"/>
    <w:locked/>
    <w:uiPriority w:val="99"/>
    <w:pPr>
      <w:tabs>
        <w:tab w:val="center" w:pos="4153"/>
        <w:tab w:val="right" w:pos="8306"/>
      </w:tabs>
      <w:snapToGrid w:val="0"/>
      <w:jc w:val="left"/>
    </w:pPr>
    <w:rPr>
      <w:sz w:val="18"/>
      <w:szCs w:val="18"/>
    </w:rPr>
  </w:style>
  <w:style w:type="paragraph" w:styleId="9">
    <w:name w:val="header"/>
    <w:basedOn w:val="1"/>
    <w:link w:val="19"/>
    <w:locked/>
    <w:uiPriority w:val="99"/>
    <w:pPr>
      <w:tabs>
        <w:tab w:val="center" w:pos="4153"/>
        <w:tab w:val="right" w:pos="8306"/>
      </w:tabs>
      <w:snapToGrid w:val="0"/>
      <w:jc w:val="center"/>
    </w:pPr>
    <w:rPr>
      <w:sz w:val="18"/>
      <w:szCs w:val="18"/>
    </w:rPr>
  </w:style>
  <w:style w:type="paragraph" w:styleId="10">
    <w:name w:val="toc 1"/>
    <w:basedOn w:val="1"/>
    <w:next w:val="1"/>
    <w:autoRedefine/>
    <w:semiHidden/>
    <w:locked/>
    <w:uiPriority w:val="99"/>
    <w:pPr>
      <w:tabs>
        <w:tab w:val="right" w:leader="dot" w:pos="8789"/>
      </w:tabs>
      <w:spacing w:line="720" w:lineRule="auto"/>
      <w:jc w:val="center"/>
    </w:pPr>
  </w:style>
  <w:style w:type="paragraph" w:styleId="11">
    <w:name w:val="annotation subject"/>
    <w:basedOn w:val="3"/>
    <w:next w:val="3"/>
    <w:link w:val="22"/>
    <w:semiHidden/>
    <w:locked/>
    <w:uiPriority w:val="99"/>
    <w:pPr>
      <w:adjustRightInd/>
      <w:snapToGrid/>
      <w:jc w:val="left"/>
    </w:pPr>
    <w:rPr>
      <w:rFonts w:ascii="Times New Roman" w:hAnsi="Times New Roman" w:cs="Times New Roman"/>
      <w:kern w:val="0"/>
    </w:rPr>
  </w:style>
  <w:style w:type="paragraph" w:styleId="12">
    <w:name w:val="Body Text First Indent"/>
    <w:basedOn w:val="4"/>
    <w:link w:val="38"/>
    <w:locked/>
    <w:uiPriority w:val="99"/>
    <w:pPr>
      <w:spacing w:line="360" w:lineRule="exact"/>
      <w:ind w:left="400" w:leftChars="400" w:firstLine="420" w:firstLineChars="100"/>
    </w:pPr>
    <w:rPr>
      <w:rFonts w:ascii="黑体" w:hAnsi="Times New Roman" w:eastAsia="楷体_GB2312" w:cs="Times New Roman"/>
      <w:sz w:val="24"/>
      <w:szCs w:val="24"/>
    </w:rPr>
  </w:style>
  <w:style w:type="character" w:styleId="15">
    <w:name w:val="Hyperlink"/>
    <w:basedOn w:val="14"/>
    <w:locked/>
    <w:uiPriority w:val="99"/>
    <w:rPr>
      <w:rFonts w:cs="Times New Roman"/>
      <w:color w:val="0000FF"/>
      <w:u w:val="single"/>
    </w:rPr>
  </w:style>
  <w:style w:type="character" w:customStyle="1" w:styleId="16">
    <w:name w:val="Heading 1 Char"/>
    <w:basedOn w:val="14"/>
    <w:link w:val="2"/>
    <w:locked/>
    <w:uiPriority w:val="99"/>
    <w:rPr>
      <w:rFonts w:ascii="Calibri" w:hAnsi="Calibri" w:cs="Calibri"/>
      <w:b/>
      <w:bCs/>
      <w:kern w:val="44"/>
      <w:sz w:val="44"/>
      <w:szCs w:val="44"/>
    </w:rPr>
  </w:style>
  <w:style w:type="character" w:customStyle="1" w:styleId="17">
    <w:name w:val="Comment Text Char"/>
    <w:basedOn w:val="14"/>
    <w:link w:val="3"/>
    <w:semiHidden/>
    <w:locked/>
    <w:uiPriority w:val="99"/>
    <w:rPr>
      <w:rFonts w:ascii="宋体" w:hAnsi="宋体" w:eastAsia="宋体" w:cs="宋体"/>
      <w:b/>
      <w:bCs/>
      <w:kern w:val="2"/>
      <w:sz w:val="24"/>
      <w:szCs w:val="24"/>
      <w:lang w:val="en-US" w:eastAsia="zh-CN"/>
    </w:rPr>
  </w:style>
  <w:style w:type="character" w:customStyle="1" w:styleId="18">
    <w:name w:val="Plain Text Char"/>
    <w:basedOn w:val="14"/>
    <w:link w:val="5"/>
    <w:semiHidden/>
    <w:locked/>
    <w:uiPriority w:val="99"/>
    <w:rPr>
      <w:rFonts w:ascii="宋体" w:hAnsi="Courier New" w:cs="宋体"/>
      <w:sz w:val="21"/>
      <w:szCs w:val="21"/>
    </w:rPr>
  </w:style>
  <w:style w:type="character" w:customStyle="1" w:styleId="19">
    <w:name w:val="Header Char"/>
    <w:basedOn w:val="14"/>
    <w:link w:val="9"/>
    <w:locked/>
    <w:uiPriority w:val="99"/>
    <w:rPr>
      <w:rFonts w:ascii="Calibri" w:hAnsi="Calibri" w:cs="Calibri"/>
      <w:sz w:val="18"/>
      <w:szCs w:val="18"/>
    </w:rPr>
  </w:style>
  <w:style w:type="character" w:customStyle="1" w:styleId="20">
    <w:name w:val="Footer Char"/>
    <w:basedOn w:val="14"/>
    <w:link w:val="8"/>
    <w:locked/>
    <w:uiPriority w:val="99"/>
    <w:rPr>
      <w:rFonts w:ascii="Calibri" w:hAnsi="Calibri" w:cs="Calibri"/>
      <w:sz w:val="18"/>
      <w:szCs w:val="18"/>
    </w:rPr>
  </w:style>
  <w:style w:type="character" w:customStyle="1" w:styleId="21">
    <w:name w:val="Balloon Text Char"/>
    <w:basedOn w:val="14"/>
    <w:link w:val="7"/>
    <w:semiHidden/>
    <w:locked/>
    <w:uiPriority w:val="99"/>
    <w:rPr>
      <w:rFonts w:eastAsia="宋体" w:cs="Times New Roman"/>
      <w:kern w:val="2"/>
      <w:sz w:val="18"/>
      <w:szCs w:val="18"/>
      <w:lang w:val="en-US" w:eastAsia="zh-CN"/>
    </w:rPr>
  </w:style>
  <w:style w:type="character" w:customStyle="1" w:styleId="22">
    <w:name w:val="Comment Subject Char"/>
    <w:basedOn w:val="17"/>
    <w:link w:val="11"/>
    <w:semiHidden/>
    <w:locked/>
    <w:uiPriority w:val="99"/>
  </w:style>
  <w:style w:type="paragraph" w:styleId="23">
    <w:name w:val="List Paragraph"/>
    <w:basedOn w:val="1"/>
    <w:qFormat/>
    <w:uiPriority w:val="99"/>
    <w:pPr>
      <w:ind w:firstLine="420" w:firstLineChars="200"/>
    </w:pPr>
  </w:style>
  <w:style w:type="character" w:customStyle="1" w:styleId="24">
    <w:name w:val="Date Char"/>
    <w:basedOn w:val="14"/>
    <w:link w:val="6"/>
    <w:semiHidden/>
    <w:locked/>
    <w:uiPriority w:val="99"/>
    <w:rPr>
      <w:rFonts w:ascii="幼圆" w:hAnsi="Calibri" w:eastAsia="幼圆" w:cs="幼圆"/>
      <w:kern w:val="2"/>
      <w:sz w:val="24"/>
      <w:szCs w:val="24"/>
      <w:lang w:val="en-US" w:eastAsia="zh-CN"/>
    </w:rPr>
  </w:style>
  <w:style w:type="paragraph" w:customStyle="1" w:styleId="25">
    <w:name w:val="TOC 标题1"/>
    <w:basedOn w:val="2"/>
    <w:next w:val="1"/>
    <w:uiPriority w:val="99"/>
    <w:pPr>
      <w:keepNext/>
      <w:keepLines/>
      <w:widowControl/>
      <w:spacing w:before="480" w:beforeAutospacing="0" w:afterAutospacing="0" w:line="276" w:lineRule="auto"/>
      <w:outlineLvl w:val="9"/>
    </w:pPr>
    <w:rPr>
      <w:rFonts w:ascii="Cambria" w:hAnsi="Cambria" w:cs="Cambria"/>
      <w:color w:val="365F91"/>
      <w:kern w:val="0"/>
      <w:sz w:val="28"/>
      <w:szCs w:val="28"/>
    </w:rPr>
  </w:style>
  <w:style w:type="character" w:customStyle="1" w:styleId="26">
    <w:name w:val="font31"/>
    <w:basedOn w:val="14"/>
    <w:uiPriority w:val="99"/>
    <w:rPr>
      <w:rFonts w:ascii="楷体_GB2312" w:eastAsia="楷体_GB2312" w:cs="楷体_GB2312"/>
      <w:color w:val="000000"/>
      <w:sz w:val="36"/>
      <w:szCs w:val="36"/>
      <w:u w:val="none"/>
    </w:rPr>
  </w:style>
  <w:style w:type="character" w:customStyle="1" w:styleId="27">
    <w:name w:val="font11"/>
    <w:basedOn w:val="14"/>
    <w:uiPriority w:val="99"/>
    <w:rPr>
      <w:rFonts w:ascii="Times New Roman" w:hAnsi="Times New Roman" w:cs="Times New Roman"/>
      <w:color w:val="000000"/>
      <w:sz w:val="36"/>
      <w:szCs w:val="36"/>
      <w:u w:val="none"/>
    </w:rPr>
  </w:style>
  <w:style w:type="character" w:customStyle="1" w:styleId="28">
    <w:name w:val="font21"/>
    <w:basedOn w:val="14"/>
    <w:uiPriority w:val="99"/>
    <w:rPr>
      <w:rFonts w:ascii="Times New Roman" w:hAnsi="Times New Roman" w:cs="Times New Roman"/>
      <w:b/>
      <w:bCs/>
      <w:color w:val="000000"/>
      <w:sz w:val="28"/>
      <w:szCs w:val="28"/>
      <w:u w:val="none"/>
    </w:rPr>
  </w:style>
  <w:style w:type="character" w:customStyle="1" w:styleId="29">
    <w:name w:val="font51"/>
    <w:basedOn w:val="14"/>
    <w:uiPriority w:val="99"/>
    <w:rPr>
      <w:rFonts w:ascii="宋体" w:hAnsi="宋体" w:eastAsia="宋体" w:cs="宋体"/>
      <w:b/>
      <w:bCs/>
      <w:color w:val="000000"/>
      <w:sz w:val="28"/>
      <w:szCs w:val="28"/>
      <w:u w:val="none"/>
    </w:rPr>
  </w:style>
  <w:style w:type="character" w:customStyle="1" w:styleId="30">
    <w:name w:val="font61"/>
    <w:basedOn w:val="14"/>
    <w:uiPriority w:val="99"/>
    <w:rPr>
      <w:rFonts w:ascii="Times New Roman" w:hAnsi="Times New Roman" w:cs="Times New Roman"/>
      <w:color w:val="000000"/>
      <w:sz w:val="22"/>
      <w:szCs w:val="22"/>
      <w:u w:val="none"/>
    </w:rPr>
  </w:style>
  <w:style w:type="character" w:customStyle="1" w:styleId="31">
    <w:name w:val="font81"/>
    <w:basedOn w:val="14"/>
    <w:uiPriority w:val="99"/>
    <w:rPr>
      <w:rFonts w:ascii="宋体" w:hAnsi="宋体" w:eastAsia="宋体" w:cs="宋体"/>
      <w:color w:val="000000"/>
      <w:sz w:val="22"/>
      <w:szCs w:val="22"/>
      <w:u w:val="none"/>
    </w:rPr>
  </w:style>
  <w:style w:type="character" w:customStyle="1" w:styleId="32">
    <w:name w:val="font91"/>
    <w:basedOn w:val="14"/>
    <w:uiPriority w:val="99"/>
    <w:rPr>
      <w:rFonts w:ascii="Times New Roman" w:hAnsi="Times New Roman" w:cs="Times New Roman"/>
      <w:color w:val="000000"/>
      <w:sz w:val="18"/>
      <w:szCs w:val="18"/>
      <w:u w:val="none"/>
    </w:rPr>
  </w:style>
  <w:style w:type="character" w:customStyle="1" w:styleId="33">
    <w:name w:val="font71"/>
    <w:basedOn w:val="14"/>
    <w:uiPriority w:val="99"/>
    <w:rPr>
      <w:rFonts w:ascii="宋体" w:hAnsi="宋体" w:eastAsia="宋体" w:cs="宋体"/>
      <w:color w:val="000000"/>
      <w:sz w:val="18"/>
      <w:szCs w:val="18"/>
      <w:u w:val="none"/>
    </w:rPr>
  </w:style>
  <w:style w:type="character" w:customStyle="1" w:styleId="34">
    <w:name w:val="font01"/>
    <w:basedOn w:val="14"/>
    <w:uiPriority w:val="99"/>
    <w:rPr>
      <w:rFonts w:ascii="宋体" w:hAnsi="宋体" w:eastAsia="宋体" w:cs="宋体"/>
      <w:color w:val="000000"/>
      <w:sz w:val="24"/>
      <w:szCs w:val="24"/>
      <w:u w:val="none"/>
    </w:rPr>
  </w:style>
  <w:style w:type="character" w:customStyle="1" w:styleId="35">
    <w:name w:val="font101"/>
    <w:basedOn w:val="14"/>
    <w:uiPriority w:val="99"/>
    <w:rPr>
      <w:rFonts w:ascii="Times New Roman" w:hAnsi="Times New Roman" w:cs="Times New Roman"/>
      <w:color w:val="000000"/>
      <w:sz w:val="20"/>
      <w:szCs w:val="20"/>
      <w:u w:val="none"/>
    </w:rPr>
  </w:style>
  <w:style w:type="character" w:customStyle="1" w:styleId="36">
    <w:name w:val="font41"/>
    <w:basedOn w:val="14"/>
    <w:uiPriority w:val="99"/>
    <w:rPr>
      <w:rFonts w:ascii="宋体" w:hAnsi="宋体" w:eastAsia="宋体" w:cs="宋体"/>
      <w:color w:val="000000"/>
      <w:sz w:val="20"/>
      <w:szCs w:val="20"/>
      <w:u w:val="none"/>
    </w:rPr>
  </w:style>
  <w:style w:type="character" w:customStyle="1" w:styleId="37">
    <w:name w:val="Body Text Char"/>
    <w:basedOn w:val="14"/>
    <w:link w:val="4"/>
    <w:semiHidden/>
    <w:locked/>
    <w:uiPriority w:val="99"/>
    <w:rPr>
      <w:rFonts w:ascii="Calibri" w:hAnsi="Calibri" w:cs="Calibri"/>
      <w:sz w:val="21"/>
      <w:szCs w:val="21"/>
    </w:rPr>
  </w:style>
  <w:style w:type="character" w:customStyle="1" w:styleId="38">
    <w:name w:val="Body Text First Indent Char"/>
    <w:basedOn w:val="14"/>
    <w:link w:val="12"/>
    <w:semiHidden/>
    <w:locked/>
    <w:uiPriority w:val="99"/>
    <w:rPr>
      <w:rFonts w:ascii="黑体" w:eastAsia="楷体_GB2312"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神州网信技术有限公司</Company>
  <Pages>7</Pages>
  <Words>596</Words>
  <Characters>3400</Characters>
  <Lines>0</Lines>
  <Paragraphs>0</Paragraphs>
  <TotalTime>52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2024-03-13T06:57:00Z</dcterms:created>
  <dc:creator>李柳青</dc:creator>
  <cp:lastModifiedBy>李柳青</cp:lastModifiedBy>
  <dcterms:modified xsi:type="dcterms:W3CDTF">2024-04-16T00:44:25Z</dcterms:modified>
  <dc:title>广东金融学院 南苑学生宿舍1-15栋智能电表校园网络迁移及调试  项目采购公告</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E1F477E3E2AB4EFF912586AC9AECAA6A_13</vt:lpwstr>
  </property>
</Properties>
</file>